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spacing w:before="0" w:after="0"/>
      </w:pPr>
      <w:r>
        <w:rPr>
          <w:b w:val="0"/>
          <w:i w:val="0"/>
          <w:color w:val="555555"/>
          <w:sz w:val="18"/>
        </w:rPr>
        <w:t>ΕΓΧΕΙΡΙΔΙΟ ΠΟΛΙΤΙΚΩΝ ΚΑΙ ΔΙΑΔΙΚΑΣΙΩΝ ν. 4557/2018</w:t>
      </w:r>
    </w:p>
    <w:p>
      <w:pPr>
        <w:spacing w:before="0" w:after="40"/>
      </w:pPr>
      <w:r>
        <w:rPr>
          <w:b/>
          <w:i w:val="0"/>
          <w:color w:val="1A3A5C"/>
          <w:sz w:val="28"/>
        </w:rPr>
        <w:t>ΚΕΦΑΛΑΙΟ 2. ΕΚΘΕΣΗ ΓΡΑΦΕΙΟΥ, ΜΕΘΟΔΟΛΟΓΙΑ ΚΑΙ ΚΡΙΤΗΡΙΑ ΑΝΑΛΥΣΗΣ ΚΙΝΔΥΝΟΥ ΑΝΑ ΠΕΛΑΤΗ</w:t>
      </w:r>
    </w:p>
    <w:p>
      <w:pPr>
        <w:spacing w:before="0" w:after="40"/>
      </w:pPr>
      <w:r>
        <w:rPr>
          <w:b/>
          <w:i w:val="0"/>
          <w:color w:val="1A3A5C"/>
          <w:sz w:val="20"/>
        </w:rPr>
        <w:t>Μοντέλο Β, κλίμακα 0 έως 100</w:t>
      </w:r>
    </w:p>
    <w:p>
      <w:pPr>
        <w:spacing w:before="0" w:after="120"/>
      </w:pPr>
      <w:r>
        <w:rPr>
          <w:b w:val="0"/>
          <w:i/>
          <w:color w:val="555555"/>
          <w:sz w:val="17"/>
        </w:rPr>
        <w:t>Παρ. 1 και 2 του άρθρου 35, παρ. 9 του άρθρου 13, παρ. 2 του άρθρου 15 και παρ. 4 του άρθρου 16 του ν. 4557/2018, Παραρτήματα Ι και ΙΙ (άρθρα 69 και 70). Απαντά στα ερωτήματα 15, 16 και 17 του ερωτηματολογίου ελεγκτικών επαληθεύσεων.</w:t>
      </w:r>
    </w:p>
    <w:p>
      <w:pPr>
        <w:spacing w:before="40" w:after="120"/>
      </w:pPr>
      <w:r>
        <w:rPr>
          <w:b w:val="0"/>
          <w:i/>
          <w:color w:val="555555"/>
          <w:sz w:val="17"/>
        </w:rPr>
        <w:t>Υπόδειγμα κατά τον «Πρακτικό οδηγό συμμόρφωσης με τον ν. 4557/2018 για λογιστικά γραφεία», Βήμα 7 και ενότητα Β.5.2. Τα κίτρινα πεδία συμπληρώνονται από το γραφείο. Το υπόλοιπο κείμενο είναι έτοιμο και προσαρμόζεται όπου χρειάζεται. Οι βαθμοί, τα κατώφλια και τα διαστήματα επικαιροποίησης είναι επιλογή του γραφείου και όχι υποχρέωση εκ του νόμου.</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3744"/>
        <w:gridCol w:w="5760"/>
      </w:tblGrid>
      <w:tr>
        <w:tc>
          <w:tcPr>
            <w:tcW w:type="dxa" w:w="3744"/>
            <w:shd w:val="clear" w:color="auto" w:fill="EEF4F9"/>
          </w:tcPr>
          <w:p>
            <w:r/>
            <w:r>
              <w:rPr>
                <w:b/>
                <w:sz w:val="17"/>
              </w:rPr>
              <w:t>Επωνυμία γραφείου</w:t>
            </w:r>
          </w:p>
        </w:tc>
        <w:tc>
          <w:tcPr>
            <w:tcW w:type="dxa" w:w="5760"/>
            <w:shd w:val="clear" w:color="auto" w:fill="FFF9E6"/>
          </w:tcPr>
          <w:p>
            <w:r/>
            <w:r>
              <w:rPr>
                <w:sz w:val="17"/>
              </w:rPr>
            </w:r>
          </w:p>
        </w:tc>
      </w:tr>
      <w:tr>
        <w:tc>
          <w:tcPr>
            <w:tcW w:type="dxa" w:w="3744"/>
            <w:shd w:val="clear" w:color="auto" w:fill="EEF4F9"/>
          </w:tcPr>
          <w:p>
            <w:r/>
            <w:r>
              <w:rPr>
                <w:b/>
                <w:sz w:val="17"/>
              </w:rPr>
              <w:t>Α.Φ.Μ.</w:t>
            </w:r>
          </w:p>
        </w:tc>
        <w:tc>
          <w:tcPr>
            <w:tcW w:type="dxa" w:w="5760"/>
            <w:shd w:val="clear" w:color="auto" w:fill="FFF9E6"/>
          </w:tcPr>
          <w:p>
            <w:r/>
            <w:r>
              <w:rPr>
                <w:sz w:val="17"/>
              </w:rPr>
            </w:r>
          </w:p>
        </w:tc>
      </w:tr>
      <w:tr>
        <w:tc>
          <w:tcPr>
            <w:tcW w:type="dxa" w:w="3744"/>
            <w:shd w:val="clear" w:color="auto" w:fill="EEF4F9"/>
          </w:tcPr>
          <w:p>
            <w:r/>
            <w:r>
              <w:rPr>
                <w:b/>
                <w:sz w:val="17"/>
              </w:rPr>
              <w:t>Υπεύθυνος συμμόρφωσης</w:t>
            </w:r>
          </w:p>
        </w:tc>
        <w:tc>
          <w:tcPr>
            <w:tcW w:type="dxa" w:w="5760"/>
            <w:shd w:val="clear" w:color="auto" w:fill="FFF9E6"/>
          </w:tcPr>
          <w:p>
            <w:r/>
            <w:r>
              <w:rPr>
                <w:sz w:val="17"/>
              </w:rPr>
            </w:r>
          </w:p>
        </w:tc>
      </w:tr>
      <w:tr>
        <w:tc>
          <w:tcPr>
            <w:tcW w:type="dxa" w:w="3744"/>
            <w:shd w:val="clear" w:color="auto" w:fill="EEF4F9"/>
          </w:tcPr>
          <w:p>
            <w:r/>
            <w:r>
              <w:rPr>
                <w:b/>
                <w:sz w:val="17"/>
              </w:rPr>
              <w:t>Έκδοση του παρόντος</w:t>
            </w:r>
          </w:p>
        </w:tc>
        <w:tc>
          <w:tcPr>
            <w:tcW w:type="dxa" w:w="5760"/>
            <w:shd w:val="clear" w:color="auto" w:fill="FFF9E6"/>
          </w:tcPr>
          <w:p>
            <w:r/>
            <w:r>
              <w:rPr>
                <w:sz w:val="17"/>
              </w:rPr>
            </w:r>
          </w:p>
        </w:tc>
      </w:tr>
      <w:tr>
        <w:tc>
          <w:tcPr>
            <w:tcW w:type="dxa" w:w="3744"/>
            <w:shd w:val="clear" w:color="auto" w:fill="EEF4F9"/>
          </w:tcPr>
          <w:p>
            <w:r/>
            <w:r>
              <w:rPr>
                <w:b/>
                <w:sz w:val="17"/>
              </w:rPr>
              <w:t>Ημερομηνία έγκρισης</w:t>
            </w:r>
          </w:p>
        </w:tc>
        <w:tc>
          <w:tcPr>
            <w:tcW w:type="dxa" w:w="5760"/>
            <w:shd w:val="clear" w:color="auto" w:fill="FFF9E6"/>
          </w:tcPr>
          <w:p>
            <w:r/>
            <w:r>
              <w:rPr>
                <w:sz w:val="17"/>
              </w:rPr>
            </w:r>
          </w:p>
        </w:tc>
      </w:tr>
      <w:tr>
        <w:tc>
          <w:tcPr>
            <w:tcW w:type="dxa" w:w="3744"/>
            <w:shd w:val="clear" w:color="auto" w:fill="EEF4F9"/>
          </w:tcPr>
          <w:p>
            <w:r/>
            <w:r>
              <w:rPr>
                <w:b/>
                <w:sz w:val="17"/>
              </w:rPr>
              <w:t>Εγκρίθηκε από (ανώτερο διοικητικό στέλεχος)</w:t>
            </w:r>
          </w:p>
        </w:tc>
        <w:tc>
          <w:tcPr>
            <w:tcW w:type="dxa" w:w="5760"/>
            <w:shd w:val="clear" w:color="auto" w:fill="FFF9E6"/>
          </w:tcPr>
          <w:p>
            <w:r/>
            <w:r>
              <w:rPr>
                <w:sz w:val="17"/>
              </w:rPr>
            </w:r>
          </w:p>
        </w:tc>
      </w:tr>
    </w:tbl>
    <w:p>
      <w:pPr>
        <w:spacing w:after="40"/>
      </w:pPr>
    </w:p>
    <w:p>
      <w:pPr>
        <w:spacing w:before="260" w:after="120"/>
      </w:pPr>
      <w:r>
        <w:rPr>
          <w:b/>
          <w:i w:val="0"/>
          <w:color w:val="1A3A5C"/>
          <w:sz w:val="22"/>
        </w:rPr>
        <w:t>1. ΠΡΟΦΙΛ ΤΟΥ ΓΡΑΦΕΙΟΥ</w:t>
      </w:r>
    </w:p>
    <w:p>
      <w:pPr>
        <w:spacing w:before="0" w:after="80"/>
      </w:pPr>
      <w:r>
        <w:rPr>
          <w:b w:val="0"/>
          <w:i w:val="0"/>
          <w:sz w:val="19"/>
        </w:rPr>
        <w:t>Η ενότητα αυτή αποτυπώνει τι εκθέτει το ίδιο το γραφείο σε κίνδυνο νομιμοποίησης εσόδων και χρηματοδότησης της τρομοκρατίας, με βάση τους παράγοντες της παρ. 1 του άρθρου 35, δηλαδή τους πελάτες, τις χώρες, τις υπηρεσίες, τις συναλλαγές και τους διαύλους παροχής. Τα στοιχεία της χρησιμοποιούνται ως κριτήρια της μεθοδολογίας της ενότητας 3 και επικαιροποιούνται μαζί με τη συγκεντρωτική κατάσταση κατάταξης πελατών.</w:t>
      </w:r>
    </w:p>
    <w:p>
      <w:pPr>
        <w:spacing w:before="180" w:after="80"/>
      </w:pPr>
      <w:r>
        <w:rPr>
          <w:b/>
          <w:i w:val="0"/>
          <w:color w:val="1A3A5C"/>
          <w:sz w:val="20"/>
        </w:rPr>
        <w:t>1.1 Νομική μορφή και μέγεθος</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3744"/>
        <w:gridCol w:w="5760"/>
      </w:tblGrid>
      <w:tr>
        <w:tc>
          <w:tcPr>
            <w:tcW w:type="dxa" w:w="3744"/>
            <w:shd w:val="clear" w:color="auto" w:fill="EEF4F9"/>
          </w:tcPr>
          <w:p>
            <w:r/>
            <w:r>
              <w:rPr>
                <w:b/>
                <w:sz w:val="17"/>
              </w:rPr>
              <w:t>Νομική μορφή (ατομική, Ο.Ε., Ε.Ε., Ι.Κ.Ε., Ε.Π.Ε., Α.Ε.)</w:t>
            </w:r>
          </w:p>
        </w:tc>
        <w:tc>
          <w:tcPr>
            <w:tcW w:type="dxa" w:w="5760"/>
            <w:shd w:val="clear" w:color="auto" w:fill="FFF9E6"/>
          </w:tcPr>
          <w:p>
            <w:r/>
            <w:r>
              <w:rPr>
                <w:sz w:val="17"/>
              </w:rPr>
            </w:r>
          </w:p>
        </w:tc>
      </w:tr>
      <w:tr>
        <w:tc>
          <w:tcPr>
            <w:tcW w:type="dxa" w:w="3744"/>
            <w:shd w:val="clear" w:color="auto" w:fill="EEF4F9"/>
          </w:tcPr>
          <w:p>
            <w:r/>
            <w:r>
              <w:rPr>
                <w:b/>
                <w:sz w:val="17"/>
              </w:rPr>
              <w:t>Αριθμός λογιστών φοροτεχνικών (κάτοχοι άδειας)</w:t>
            </w:r>
          </w:p>
        </w:tc>
        <w:tc>
          <w:tcPr>
            <w:tcW w:type="dxa" w:w="5760"/>
            <w:shd w:val="clear" w:color="auto" w:fill="FFF9E6"/>
          </w:tcPr>
          <w:p>
            <w:r/>
            <w:r>
              <w:rPr>
                <w:sz w:val="17"/>
              </w:rPr>
            </w:r>
          </w:p>
        </w:tc>
      </w:tr>
      <w:tr>
        <w:tc>
          <w:tcPr>
            <w:tcW w:type="dxa" w:w="3744"/>
            <w:shd w:val="clear" w:color="auto" w:fill="EEF4F9"/>
          </w:tcPr>
          <w:p>
            <w:r/>
            <w:r>
              <w:rPr>
                <w:b/>
                <w:sz w:val="17"/>
              </w:rPr>
              <w:t>Αριθμός λοιπού προσωπικού</w:t>
            </w:r>
          </w:p>
        </w:tc>
        <w:tc>
          <w:tcPr>
            <w:tcW w:type="dxa" w:w="5760"/>
            <w:shd w:val="clear" w:color="auto" w:fill="FFF9E6"/>
          </w:tcPr>
          <w:p>
            <w:r/>
            <w:r>
              <w:rPr>
                <w:sz w:val="17"/>
              </w:rPr>
            </w:r>
          </w:p>
        </w:tc>
      </w:tr>
      <w:tr>
        <w:tc>
          <w:tcPr>
            <w:tcW w:type="dxa" w:w="3744"/>
            <w:shd w:val="clear" w:color="auto" w:fill="EEF4F9"/>
          </w:tcPr>
          <w:p>
            <w:r/>
            <w:r>
              <w:rPr>
                <w:b/>
                <w:sz w:val="17"/>
              </w:rPr>
              <w:t>Έδρα και υποκαταστήματα</w:t>
            </w:r>
          </w:p>
        </w:tc>
        <w:tc>
          <w:tcPr>
            <w:tcW w:type="dxa" w:w="5760"/>
            <w:shd w:val="clear" w:color="auto" w:fill="FFF9E6"/>
          </w:tcPr>
          <w:p>
            <w:r/>
            <w:r>
              <w:rPr>
                <w:sz w:val="17"/>
              </w:rPr>
            </w:r>
          </w:p>
        </w:tc>
      </w:tr>
    </w:tbl>
    <w:p>
      <w:pPr>
        <w:spacing w:after="40"/>
      </w:pPr>
    </w:p>
    <w:p>
      <w:pPr>
        <w:spacing w:before="180" w:after="80"/>
      </w:pPr>
      <w:r>
        <w:rPr>
          <w:b/>
          <w:i w:val="0"/>
          <w:color w:val="1A3A5C"/>
          <w:sz w:val="20"/>
        </w:rPr>
        <w:t>1.2 Υπηρεσίες που παρέχει το γραφείο</w:t>
      </w:r>
    </w:p>
    <w:p>
      <w:pPr>
        <w:spacing w:before="0" w:after="80"/>
      </w:pPr>
      <w:r>
        <w:rPr>
          <w:b w:val="0"/>
          <w:i w:val="0"/>
          <w:sz w:val="18"/>
        </w:rPr>
        <w:t>Σημειώνεται ΝΑΙ ή ΟΧΙ και το πλήθος των πελατών ανά υπηρεσία. Οι υπηρεσίες των τελευταίων πέντε γραμμών αντιστοιχούν στις δραστηριότητες της περ. δ΄ της παρ. 1 του άρθρου 5 και αυξάνουν την έκθεση του γραφείου, γι’ αυτό βαρύνουν τον Άξονα Γ της μεθοδολογίας.</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4176"/>
        <w:gridCol w:w="1296"/>
        <w:gridCol w:w="1440"/>
        <w:gridCol w:w="2592"/>
      </w:tblGrid>
      <w:tr>
        <w:tc>
          <w:tcPr>
            <w:tcW w:type="dxa" w:w="4176"/>
            <w:shd w:val="clear" w:color="auto" w:fill="1A3A5C"/>
          </w:tcPr>
          <w:p>
            <w:r/>
            <w:r>
              <w:rPr>
                <w:b/>
                <w:color w:val="FFFFFF"/>
                <w:sz w:val="17"/>
              </w:rPr>
              <w:t>Υπηρεσία</w:t>
            </w:r>
          </w:p>
        </w:tc>
        <w:tc>
          <w:tcPr>
            <w:tcW w:type="dxa" w:w="1296"/>
            <w:shd w:val="clear" w:color="auto" w:fill="1A3A5C"/>
          </w:tcPr>
          <w:p>
            <w:r/>
            <w:r>
              <w:rPr>
                <w:b/>
                <w:color w:val="FFFFFF"/>
                <w:sz w:val="17"/>
              </w:rPr>
              <w:t>Παρέχεται</w:t>
            </w:r>
          </w:p>
        </w:tc>
        <w:tc>
          <w:tcPr>
            <w:tcW w:type="dxa" w:w="1440"/>
            <w:shd w:val="clear" w:color="auto" w:fill="1A3A5C"/>
          </w:tcPr>
          <w:p>
            <w:r/>
            <w:r>
              <w:rPr>
                <w:b/>
                <w:color w:val="FFFFFF"/>
                <w:sz w:val="17"/>
              </w:rPr>
              <w:t>Πλήθος πελατών</w:t>
            </w:r>
          </w:p>
        </w:tc>
        <w:tc>
          <w:tcPr>
            <w:tcW w:type="dxa" w:w="2592"/>
            <w:shd w:val="clear" w:color="auto" w:fill="1A3A5C"/>
          </w:tcPr>
          <w:p>
            <w:r/>
            <w:r>
              <w:rPr>
                <w:b/>
                <w:color w:val="FFFFFF"/>
                <w:sz w:val="17"/>
              </w:rPr>
              <w:t>Παρατηρήσεις</w:t>
            </w:r>
          </w:p>
        </w:tc>
      </w:tr>
      <w:tr>
        <w:tc>
          <w:tcPr>
            <w:tcW w:type="dxa" w:w="4176"/>
          </w:tcPr>
          <w:p>
            <w:r/>
            <w:r>
              <w:rPr>
                <w:sz w:val="17"/>
              </w:rPr>
              <w:t>Τήρηση βιβλίων</w:t>
            </w:r>
          </w:p>
        </w:tc>
        <w:tc>
          <w:tcPr>
            <w:tcW w:type="dxa" w:w="1296"/>
            <w:shd w:val="clear" w:color="auto" w:fill="FFF9E6"/>
          </w:tcPr>
          <w:p>
            <w:r/>
            <w:r>
              <w:rPr>
                <w:sz w:val="17"/>
              </w:rPr>
            </w:r>
          </w:p>
        </w:tc>
        <w:tc>
          <w:tcPr>
            <w:tcW w:type="dxa" w:w="1440"/>
            <w:shd w:val="clear" w:color="auto" w:fill="FFF9E6"/>
          </w:tcPr>
          <w:p>
            <w:r/>
            <w:r>
              <w:rPr>
                <w:sz w:val="17"/>
              </w:rPr>
            </w:r>
          </w:p>
        </w:tc>
        <w:tc>
          <w:tcPr>
            <w:tcW w:type="dxa" w:w="2592"/>
            <w:shd w:val="clear" w:color="auto" w:fill="FFF9E6"/>
          </w:tcPr>
          <w:p>
            <w:r/>
            <w:r>
              <w:rPr>
                <w:sz w:val="17"/>
              </w:rPr>
            </w:r>
          </w:p>
        </w:tc>
      </w:tr>
      <w:tr>
        <w:tc>
          <w:tcPr>
            <w:tcW w:type="dxa" w:w="4176"/>
          </w:tcPr>
          <w:p>
            <w:r/>
            <w:r>
              <w:rPr>
                <w:sz w:val="17"/>
              </w:rPr>
              <w:t>Υποβολή φορολογικών δηλώσεων</w:t>
            </w:r>
          </w:p>
        </w:tc>
        <w:tc>
          <w:tcPr>
            <w:tcW w:type="dxa" w:w="1296"/>
            <w:shd w:val="clear" w:color="auto" w:fill="FFF9E6"/>
          </w:tcPr>
          <w:p>
            <w:r/>
            <w:r>
              <w:rPr>
                <w:sz w:val="17"/>
              </w:rPr>
            </w:r>
          </w:p>
        </w:tc>
        <w:tc>
          <w:tcPr>
            <w:tcW w:type="dxa" w:w="1440"/>
            <w:shd w:val="clear" w:color="auto" w:fill="FFF9E6"/>
          </w:tcPr>
          <w:p>
            <w:r/>
            <w:r>
              <w:rPr>
                <w:sz w:val="17"/>
              </w:rPr>
            </w:r>
          </w:p>
        </w:tc>
        <w:tc>
          <w:tcPr>
            <w:tcW w:type="dxa" w:w="2592"/>
            <w:shd w:val="clear" w:color="auto" w:fill="FFF9E6"/>
          </w:tcPr>
          <w:p>
            <w:r/>
            <w:r>
              <w:rPr>
                <w:sz w:val="17"/>
              </w:rPr>
            </w:r>
          </w:p>
        </w:tc>
      </w:tr>
      <w:tr>
        <w:tc>
          <w:tcPr>
            <w:tcW w:type="dxa" w:w="4176"/>
          </w:tcPr>
          <w:p>
            <w:r/>
            <w:r>
              <w:rPr>
                <w:sz w:val="17"/>
              </w:rPr>
              <w:t>Μισθοδοσία</w:t>
            </w:r>
          </w:p>
        </w:tc>
        <w:tc>
          <w:tcPr>
            <w:tcW w:type="dxa" w:w="1296"/>
            <w:shd w:val="clear" w:color="auto" w:fill="FFF9E6"/>
          </w:tcPr>
          <w:p>
            <w:r/>
            <w:r>
              <w:rPr>
                <w:sz w:val="17"/>
              </w:rPr>
            </w:r>
          </w:p>
        </w:tc>
        <w:tc>
          <w:tcPr>
            <w:tcW w:type="dxa" w:w="1440"/>
            <w:shd w:val="clear" w:color="auto" w:fill="FFF9E6"/>
          </w:tcPr>
          <w:p>
            <w:r/>
            <w:r>
              <w:rPr>
                <w:sz w:val="17"/>
              </w:rPr>
            </w:r>
          </w:p>
        </w:tc>
        <w:tc>
          <w:tcPr>
            <w:tcW w:type="dxa" w:w="2592"/>
            <w:shd w:val="clear" w:color="auto" w:fill="FFF9E6"/>
          </w:tcPr>
          <w:p>
            <w:r/>
            <w:r>
              <w:rPr>
                <w:sz w:val="17"/>
              </w:rPr>
            </w:r>
          </w:p>
        </w:tc>
      </w:tr>
      <w:tr>
        <w:tc>
          <w:tcPr>
            <w:tcW w:type="dxa" w:w="4176"/>
          </w:tcPr>
          <w:p>
            <w:r/>
            <w:r>
              <w:rPr>
                <w:sz w:val="17"/>
              </w:rPr>
              <w:t>Σύνταξη οικονομικών καταστάσεων</w:t>
            </w:r>
          </w:p>
        </w:tc>
        <w:tc>
          <w:tcPr>
            <w:tcW w:type="dxa" w:w="1296"/>
            <w:shd w:val="clear" w:color="auto" w:fill="FFF9E6"/>
          </w:tcPr>
          <w:p>
            <w:r/>
            <w:r>
              <w:rPr>
                <w:sz w:val="17"/>
              </w:rPr>
            </w:r>
          </w:p>
        </w:tc>
        <w:tc>
          <w:tcPr>
            <w:tcW w:type="dxa" w:w="1440"/>
            <w:shd w:val="clear" w:color="auto" w:fill="FFF9E6"/>
          </w:tcPr>
          <w:p>
            <w:r/>
            <w:r>
              <w:rPr>
                <w:sz w:val="17"/>
              </w:rPr>
            </w:r>
          </w:p>
        </w:tc>
        <w:tc>
          <w:tcPr>
            <w:tcW w:type="dxa" w:w="2592"/>
            <w:shd w:val="clear" w:color="auto" w:fill="FFF9E6"/>
          </w:tcPr>
          <w:p>
            <w:r/>
            <w:r>
              <w:rPr>
                <w:sz w:val="17"/>
              </w:rPr>
            </w:r>
          </w:p>
        </w:tc>
      </w:tr>
      <w:tr>
        <w:tc>
          <w:tcPr>
            <w:tcW w:type="dxa" w:w="4176"/>
          </w:tcPr>
          <w:p>
            <w:r/>
            <w:r>
              <w:rPr>
                <w:sz w:val="17"/>
              </w:rPr>
              <w:t>Φορολογικός σχεδιασμός και συμβουλές</w:t>
            </w:r>
          </w:p>
        </w:tc>
        <w:tc>
          <w:tcPr>
            <w:tcW w:type="dxa" w:w="1296"/>
            <w:shd w:val="clear" w:color="auto" w:fill="FFF9E6"/>
          </w:tcPr>
          <w:p>
            <w:r/>
            <w:r>
              <w:rPr>
                <w:sz w:val="17"/>
              </w:rPr>
            </w:r>
          </w:p>
        </w:tc>
        <w:tc>
          <w:tcPr>
            <w:tcW w:type="dxa" w:w="1440"/>
            <w:shd w:val="clear" w:color="auto" w:fill="FFF9E6"/>
          </w:tcPr>
          <w:p>
            <w:r/>
            <w:r>
              <w:rPr>
                <w:sz w:val="17"/>
              </w:rPr>
            </w:r>
          </w:p>
        </w:tc>
        <w:tc>
          <w:tcPr>
            <w:tcW w:type="dxa" w:w="2592"/>
            <w:shd w:val="clear" w:color="auto" w:fill="FFF9E6"/>
          </w:tcPr>
          <w:p>
            <w:r/>
            <w:r>
              <w:rPr>
                <w:sz w:val="17"/>
              </w:rPr>
            </w:r>
          </w:p>
        </w:tc>
      </w:tr>
      <w:tr>
        <w:tc>
          <w:tcPr>
            <w:tcW w:type="dxa" w:w="4176"/>
          </w:tcPr>
          <w:p>
            <w:r/>
            <w:r>
              <w:rPr>
                <w:sz w:val="17"/>
              </w:rPr>
              <w:t>Σύσταση εταιρειών ή άλλων νομικών προσώπων</w:t>
            </w:r>
          </w:p>
        </w:tc>
        <w:tc>
          <w:tcPr>
            <w:tcW w:type="dxa" w:w="1296"/>
            <w:shd w:val="clear" w:color="auto" w:fill="FFF9E6"/>
          </w:tcPr>
          <w:p>
            <w:r/>
            <w:r>
              <w:rPr>
                <w:sz w:val="17"/>
              </w:rPr>
            </w:r>
          </w:p>
        </w:tc>
        <w:tc>
          <w:tcPr>
            <w:tcW w:type="dxa" w:w="1440"/>
            <w:shd w:val="clear" w:color="auto" w:fill="FFF9E6"/>
          </w:tcPr>
          <w:p>
            <w:r/>
            <w:r>
              <w:rPr>
                <w:sz w:val="17"/>
              </w:rPr>
            </w:r>
          </w:p>
        </w:tc>
        <w:tc>
          <w:tcPr>
            <w:tcW w:type="dxa" w:w="2592"/>
            <w:shd w:val="clear" w:color="auto" w:fill="FFF9E6"/>
          </w:tcPr>
          <w:p>
            <w:r/>
            <w:r>
              <w:rPr>
                <w:sz w:val="17"/>
              </w:rPr>
            </w:r>
          </w:p>
        </w:tc>
      </w:tr>
      <w:tr>
        <w:tc>
          <w:tcPr>
            <w:tcW w:type="dxa" w:w="4176"/>
          </w:tcPr>
          <w:p>
            <w:r/>
            <w:r>
              <w:rPr>
                <w:sz w:val="17"/>
              </w:rPr>
              <w:t>Εταιρικές μεταβολές και μετασχηματισμοί</w:t>
            </w:r>
          </w:p>
        </w:tc>
        <w:tc>
          <w:tcPr>
            <w:tcW w:type="dxa" w:w="1296"/>
            <w:shd w:val="clear" w:color="auto" w:fill="FFF9E6"/>
          </w:tcPr>
          <w:p>
            <w:r/>
            <w:r>
              <w:rPr>
                <w:sz w:val="17"/>
              </w:rPr>
            </w:r>
          </w:p>
        </w:tc>
        <w:tc>
          <w:tcPr>
            <w:tcW w:type="dxa" w:w="1440"/>
            <w:shd w:val="clear" w:color="auto" w:fill="FFF9E6"/>
          </w:tcPr>
          <w:p>
            <w:r/>
            <w:r>
              <w:rPr>
                <w:sz w:val="17"/>
              </w:rPr>
            </w:r>
          </w:p>
        </w:tc>
        <w:tc>
          <w:tcPr>
            <w:tcW w:type="dxa" w:w="2592"/>
            <w:shd w:val="clear" w:color="auto" w:fill="FFF9E6"/>
          </w:tcPr>
          <w:p>
            <w:r/>
            <w:r>
              <w:rPr>
                <w:sz w:val="17"/>
              </w:rPr>
            </w:r>
          </w:p>
        </w:tc>
      </w:tr>
      <w:tr>
        <w:tc>
          <w:tcPr>
            <w:tcW w:type="dxa" w:w="4176"/>
          </w:tcPr>
          <w:p>
            <w:r/>
            <w:r>
              <w:rPr>
                <w:sz w:val="17"/>
              </w:rPr>
              <w:t>Παροχή καταστατικής έδρας ή διεύθυνσης</w:t>
            </w:r>
          </w:p>
        </w:tc>
        <w:tc>
          <w:tcPr>
            <w:tcW w:type="dxa" w:w="1296"/>
            <w:shd w:val="clear" w:color="auto" w:fill="FFF9E6"/>
          </w:tcPr>
          <w:p>
            <w:r/>
            <w:r>
              <w:rPr>
                <w:sz w:val="17"/>
              </w:rPr>
            </w:r>
          </w:p>
        </w:tc>
        <w:tc>
          <w:tcPr>
            <w:tcW w:type="dxa" w:w="1440"/>
            <w:shd w:val="clear" w:color="auto" w:fill="FFF9E6"/>
          </w:tcPr>
          <w:p>
            <w:r/>
            <w:r>
              <w:rPr>
                <w:sz w:val="17"/>
              </w:rPr>
            </w:r>
          </w:p>
        </w:tc>
        <w:tc>
          <w:tcPr>
            <w:tcW w:type="dxa" w:w="2592"/>
            <w:shd w:val="clear" w:color="auto" w:fill="FFF9E6"/>
          </w:tcPr>
          <w:p>
            <w:r/>
            <w:r>
              <w:rPr>
                <w:sz w:val="17"/>
              </w:rPr>
            </w:r>
          </w:p>
        </w:tc>
      </w:tr>
      <w:tr>
        <w:tc>
          <w:tcPr>
            <w:tcW w:type="dxa" w:w="4176"/>
          </w:tcPr>
          <w:p>
            <w:r/>
            <w:r>
              <w:rPr>
                <w:sz w:val="17"/>
              </w:rPr>
              <w:t>Άσκηση καθηκόντων διαχειριστή, διευθυντή ή εταίρου για λογαριασμό πελάτη</w:t>
            </w:r>
          </w:p>
        </w:tc>
        <w:tc>
          <w:tcPr>
            <w:tcW w:type="dxa" w:w="1296"/>
            <w:shd w:val="clear" w:color="auto" w:fill="FFF9E6"/>
          </w:tcPr>
          <w:p>
            <w:r/>
            <w:r>
              <w:rPr>
                <w:sz w:val="17"/>
              </w:rPr>
            </w:r>
          </w:p>
        </w:tc>
        <w:tc>
          <w:tcPr>
            <w:tcW w:type="dxa" w:w="1440"/>
            <w:shd w:val="clear" w:color="auto" w:fill="FFF9E6"/>
          </w:tcPr>
          <w:p>
            <w:r/>
            <w:r>
              <w:rPr>
                <w:sz w:val="17"/>
              </w:rPr>
            </w:r>
          </w:p>
        </w:tc>
        <w:tc>
          <w:tcPr>
            <w:tcW w:type="dxa" w:w="2592"/>
            <w:shd w:val="clear" w:color="auto" w:fill="FFF9E6"/>
          </w:tcPr>
          <w:p>
            <w:r/>
            <w:r>
              <w:rPr>
                <w:sz w:val="17"/>
              </w:rPr>
            </w:r>
          </w:p>
        </w:tc>
      </w:tr>
      <w:tr>
        <w:tc>
          <w:tcPr>
            <w:tcW w:type="dxa" w:w="4176"/>
          </w:tcPr>
          <w:p>
            <w:r/>
            <w:r>
              <w:rPr>
                <w:sz w:val="17"/>
              </w:rPr>
              <w:t>Διαχείριση περιουσιακών στοιχείων ή λογαριασμών πελατών</w:t>
            </w:r>
          </w:p>
        </w:tc>
        <w:tc>
          <w:tcPr>
            <w:tcW w:type="dxa" w:w="1296"/>
            <w:shd w:val="clear" w:color="auto" w:fill="FFF9E6"/>
          </w:tcPr>
          <w:p>
            <w:r/>
            <w:r>
              <w:rPr>
                <w:sz w:val="17"/>
              </w:rPr>
            </w:r>
          </w:p>
        </w:tc>
        <w:tc>
          <w:tcPr>
            <w:tcW w:type="dxa" w:w="1440"/>
            <w:shd w:val="clear" w:color="auto" w:fill="FFF9E6"/>
          </w:tcPr>
          <w:p>
            <w:r/>
            <w:r>
              <w:rPr>
                <w:sz w:val="17"/>
              </w:rPr>
            </w:r>
          </w:p>
        </w:tc>
        <w:tc>
          <w:tcPr>
            <w:tcW w:type="dxa" w:w="2592"/>
            <w:shd w:val="clear" w:color="auto" w:fill="FFF9E6"/>
          </w:tcPr>
          <w:p>
            <w:r/>
            <w:r>
              <w:rPr>
                <w:sz w:val="17"/>
              </w:rPr>
            </w:r>
          </w:p>
        </w:tc>
      </w:tr>
    </w:tbl>
    <w:p>
      <w:pPr>
        <w:spacing w:after="40"/>
      </w:pPr>
    </w:p>
    <w:p>
      <w:pPr>
        <w:spacing w:before="180" w:after="80"/>
      </w:pPr>
      <w:r>
        <w:rPr>
          <w:b/>
          <w:i w:val="0"/>
          <w:color w:val="1A3A5C"/>
          <w:sz w:val="20"/>
        </w:rPr>
        <w:t>1.3 Χώρες και γεωγραφικές περιοχές</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3744"/>
        <w:gridCol w:w="5760"/>
      </w:tblGrid>
      <w:tr>
        <w:tc>
          <w:tcPr>
            <w:tcW w:type="dxa" w:w="3744"/>
            <w:shd w:val="clear" w:color="auto" w:fill="EEF4F9"/>
          </w:tcPr>
          <w:p>
            <w:r/>
            <w:r>
              <w:rPr>
                <w:b/>
                <w:sz w:val="17"/>
              </w:rPr>
              <w:t>Πελάτες με έδρα ή κατοικία εκτός Ελλάδας (πλήθος και χώρες)</w:t>
            </w:r>
          </w:p>
        </w:tc>
        <w:tc>
          <w:tcPr>
            <w:tcW w:type="dxa" w:w="5760"/>
            <w:shd w:val="clear" w:color="auto" w:fill="FFF9E6"/>
          </w:tcPr>
          <w:p>
            <w:r/>
            <w:r>
              <w:rPr>
                <w:sz w:val="17"/>
              </w:rPr>
            </w:r>
          </w:p>
        </w:tc>
      </w:tr>
      <w:tr>
        <w:tc>
          <w:tcPr>
            <w:tcW w:type="dxa" w:w="3744"/>
            <w:shd w:val="clear" w:color="auto" w:fill="EEF4F9"/>
          </w:tcPr>
          <w:p>
            <w:r/>
            <w:r>
              <w:rPr>
                <w:b/>
                <w:sz w:val="17"/>
              </w:rPr>
              <w:t>Πελάτες με μετόχους ή πραγματικούς δικαιούχους σε τρίτη χώρα (πλήθος και χώρες)</w:t>
            </w:r>
          </w:p>
        </w:tc>
        <w:tc>
          <w:tcPr>
            <w:tcW w:type="dxa" w:w="5760"/>
            <w:shd w:val="clear" w:color="auto" w:fill="FFF9E6"/>
          </w:tcPr>
          <w:p>
            <w:r/>
            <w:r>
              <w:rPr>
                <w:sz w:val="17"/>
              </w:rPr>
            </w:r>
          </w:p>
        </w:tc>
      </w:tr>
      <w:tr>
        <w:tc>
          <w:tcPr>
            <w:tcW w:type="dxa" w:w="3744"/>
            <w:shd w:val="clear" w:color="auto" w:fill="EEF4F9"/>
          </w:tcPr>
          <w:p>
            <w:r/>
            <w:r>
              <w:rPr>
                <w:b/>
                <w:sz w:val="17"/>
              </w:rPr>
              <w:t>Πελάτες με συναλλαγές με χώρες του ενωσιακού καταλόγου ή των καταλόγων FATF</w:t>
            </w:r>
          </w:p>
        </w:tc>
        <w:tc>
          <w:tcPr>
            <w:tcW w:type="dxa" w:w="5760"/>
            <w:shd w:val="clear" w:color="auto" w:fill="FFF9E6"/>
          </w:tcPr>
          <w:p>
            <w:r/>
            <w:r>
              <w:rPr>
                <w:sz w:val="17"/>
              </w:rPr>
            </w:r>
          </w:p>
        </w:tc>
      </w:tr>
    </w:tbl>
    <w:p>
      <w:pPr>
        <w:spacing w:after="40"/>
      </w:pPr>
    </w:p>
    <w:p>
      <w:pPr>
        <w:spacing w:before="180" w:after="80"/>
      </w:pPr>
      <w:r>
        <w:rPr>
          <w:b/>
          <w:i w:val="0"/>
          <w:color w:val="1A3A5C"/>
          <w:sz w:val="20"/>
        </w:rPr>
        <w:t>1.4 Δίαυλοι παροχής και τρόποι πληρωμής</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3744"/>
        <w:gridCol w:w="5760"/>
      </w:tblGrid>
      <w:tr>
        <w:tc>
          <w:tcPr>
            <w:tcW w:type="dxa" w:w="3744"/>
            <w:shd w:val="clear" w:color="auto" w:fill="EEF4F9"/>
          </w:tcPr>
          <w:p>
            <w:r/>
            <w:r>
              <w:rPr>
                <w:b/>
                <w:sz w:val="17"/>
              </w:rPr>
              <w:t>Πελάτες με φυσική παρουσία (πλήθος)</w:t>
            </w:r>
          </w:p>
        </w:tc>
        <w:tc>
          <w:tcPr>
            <w:tcW w:type="dxa" w:w="5760"/>
            <w:shd w:val="clear" w:color="auto" w:fill="FFF9E6"/>
          </w:tcPr>
          <w:p>
            <w:r/>
            <w:r>
              <w:rPr>
                <w:sz w:val="17"/>
              </w:rPr>
            </w:r>
          </w:p>
        </w:tc>
      </w:tr>
      <w:tr>
        <w:tc>
          <w:tcPr>
            <w:tcW w:type="dxa" w:w="3744"/>
            <w:shd w:val="clear" w:color="auto" w:fill="EEF4F9"/>
          </w:tcPr>
          <w:p>
            <w:r/>
            <w:r>
              <w:rPr>
                <w:b/>
                <w:sz w:val="17"/>
              </w:rPr>
              <w:t>Πελάτες εξ αποστάσεως, με ή χωρίς αναγνωρισμένο μέσο ηλεκτρονικής ταυτοποίησης (πλήθος)</w:t>
            </w:r>
          </w:p>
        </w:tc>
        <w:tc>
          <w:tcPr>
            <w:tcW w:type="dxa" w:w="5760"/>
            <w:shd w:val="clear" w:color="auto" w:fill="FFF9E6"/>
          </w:tcPr>
          <w:p>
            <w:r/>
            <w:r>
              <w:rPr>
                <w:sz w:val="17"/>
              </w:rPr>
            </w:r>
          </w:p>
        </w:tc>
      </w:tr>
      <w:tr>
        <w:tc>
          <w:tcPr>
            <w:tcW w:type="dxa" w:w="3744"/>
            <w:shd w:val="clear" w:color="auto" w:fill="EEF4F9"/>
          </w:tcPr>
          <w:p>
            <w:r/>
            <w:r>
              <w:rPr>
                <w:b/>
                <w:sz w:val="17"/>
              </w:rPr>
              <w:t>Πελάτες που ενεργούν μέσω εξουσιοδοτημένου προσώπου (πλήθος)</w:t>
            </w:r>
          </w:p>
        </w:tc>
        <w:tc>
          <w:tcPr>
            <w:tcW w:type="dxa" w:w="5760"/>
            <w:shd w:val="clear" w:color="auto" w:fill="FFF9E6"/>
          </w:tcPr>
          <w:p>
            <w:r/>
            <w:r>
              <w:rPr>
                <w:sz w:val="17"/>
              </w:rPr>
            </w:r>
          </w:p>
        </w:tc>
      </w:tr>
      <w:tr>
        <w:tc>
          <w:tcPr>
            <w:tcW w:type="dxa" w:w="3744"/>
            <w:shd w:val="clear" w:color="auto" w:fill="EEF4F9"/>
          </w:tcPr>
          <w:p>
            <w:r/>
            <w:r>
              <w:rPr>
                <w:b/>
                <w:sz w:val="17"/>
              </w:rPr>
              <w:t>Πελάτες με σημαντικές εισπράξεις σε μετρητά (πλήθος)</w:t>
            </w:r>
          </w:p>
        </w:tc>
        <w:tc>
          <w:tcPr>
            <w:tcW w:type="dxa" w:w="5760"/>
            <w:shd w:val="clear" w:color="auto" w:fill="FFF9E6"/>
          </w:tcPr>
          <w:p>
            <w:r/>
            <w:r>
              <w:rPr>
                <w:sz w:val="17"/>
              </w:rPr>
            </w:r>
          </w:p>
        </w:tc>
      </w:tr>
    </w:tbl>
    <w:p>
      <w:pPr>
        <w:spacing w:after="40"/>
      </w:pPr>
    </w:p>
    <w:p>
      <w:pPr>
        <w:spacing w:before="180" w:after="80"/>
      </w:pPr>
      <w:r>
        <w:rPr>
          <w:b/>
          <w:i w:val="0"/>
          <w:color w:val="1A3A5C"/>
          <w:sz w:val="20"/>
        </w:rPr>
        <w:t>1.5 Σύνθεση του πελατολογίου</w:t>
      </w:r>
    </w:p>
    <w:p>
      <w:pPr>
        <w:spacing w:before="0" w:after="80"/>
      </w:pPr>
      <w:r>
        <w:rPr>
          <w:b w:val="0"/>
          <w:i w:val="0"/>
          <w:sz w:val="18"/>
        </w:rPr>
        <w:t>Μεταφέρεται από τη συγκεντρωτική κατάσταση κατάταξης πελατών (Βήμα 9), η οποία τηρεί δικό της αριθμό έκδοσης και ημερομηνία και αποτελεί αναπόσπαστο παράρτημα του παρόντος.</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2592"/>
        <w:gridCol w:w="1728"/>
        <w:gridCol w:w="1440"/>
        <w:gridCol w:w="3744"/>
      </w:tblGrid>
      <w:tr>
        <w:tc>
          <w:tcPr>
            <w:tcW w:type="dxa" w:w="2592"/>
            <w:shd w:val="clear" w:color="auto" w:fill="1A3A5C"/>
          </w:tcPr>
          <w:p>
            <w:r/>
            <w:r>
              <w:rPr>
                <w:b/>
                <w:color w:val="FFFFFF"/>
                <w:sz w:val="17"/>
              </w:rPr>
              <w:t>Κατηγορία κινδύνου</w:t>
            </w:r>
          </w:p>
        </w:tc>
        <w:tc>
          <w:tcPr>
            <w:tcW w:type="dxa" w:w="1728"/>
            <w:shd w:val="clear" w:color="auto" w:fill="1A3A5C"/>
          </w:tcPr>
          <w:p>
            <w:r/>
            <w:r>
              <w:rPr>
                <w:b/>
                <w:color w:val="FFFFFF"/>
                <w:sz w:val="17"/>
              </w:rPr>
              <w:t>Πλήθος πελατών</w:t>
            </w:r>
          </w:p>
        </w:tc>
        <w:tc>
          <w:tcPr>
            <w:tcW w:type="dxa" w:w="1440"/>
            <w:shd w:val="clear" w:color="auto" w:fill="1A3A5C"/>
          </w:tcPr>
          <w:p>
            <w:r/>
            <w:r>
              <w:rPr>
                <w:b/>
                <w:color w:val="FFFFFF"/>
                <w:sz w:val="17"/>
              </w:rPr>
              <w:t>Ποσοστό</w:t>
            </w:r>
          </w:p>
        </w:tc>
        <w:tc>
          <w:tcPr>
            <w:tcW w:type="dxa" w:w="3744"/>
            <w:shd w:val="clear" w:color="auto" w:fill="1A3A5C"/>
          </w:tcPr>
          <w:p>
            <w:r/>
            <w:r>
              <w:rPr>
                <w:b/>
                <w:color w:val="FFFFFF"/>
                <w:sz w:val="17"/>
              </w:rPr>
              <w:t>Δέουσα επιμέλεια που εφαρμόζεται</w:t>
            </w:r>
          </w:p>
        </w:tc>
      </w:tr>
      <w:tr>
        <w:tc>
          <w:tcPr>
            <w:tcW w:type="dxa" w:w="2592"/>
          </w:tcPr>
          <w:p>
            <w:r/>
            <w:r>
              <w:rPr>
                <w:sz w:val="17"/>
              </w:rPr>
              <w:t>Χαμηλός</w:t>
            </w:r>
          </w:p>
        </w:tc>
        <w:tc>
          <w:tcPr>
            <w:tcW w:type="dxa" w:w="1728"/>
            <w:shd w:val="clear" w:color="auto" w:fill="FFF9E6"/>
          </w:tcPr>
          <w:p>
            <w:r/>
            <w:r>
              <w:rPr>
                <w:sz w:val="17"/>
              </w:rPr>
            </w:r>
          </w:p>
        </w:tc>
        <w:tc>
          <w:tcPr>
            <w:tcW w:type="dxa" w:w="1440"/>
            <w:shd w:val="clear" w:color="auto" w:fill="FFF9E6"/>
          </w:tcPr>
          <w:p>
            <w:r/>
            <w:r>
              <w:rPr>
                <w:sz w:val="17"/>
              </w:rPr>
            </w:r>
          </w:p>
        </w:tc>
        <w:tc>
          <w:tcPr>
            <w:tcW w:type="dxa" w:w="3744"/>
          </w:tcPr>
          <w:p>
            <w:r/>
            <w:r>
              <w:rPr>
                <w:sz w:val="17"/>
              </w:rPr>
              <w:t>Απλουστευμένη (άρθρο 15)</w:t>
            </w:r>
          </w:p>
        </w:tc>
      </w:tr>
      <w:tr>
        <w:tc>
          <w:tcPr>
            <w:tcW w:type="dxa" w:w="2592"/>
          </w:tcPr>
          <w:p>
            <w:r/>
            <w:r>
              <w:rPr>
                <w:sz w:val="17"/>
              </w:rPr>
              <w:t>Μέτριος</w:t>
            </w:r>
          </w:p>
        </w:tc>
        <w:tc>
          <w:tcPr>
            <w:tcW w:type="dxa" w:w="1728"/>
            <w:shd w:val="clear" w:color="auto" w:fill="FFF9E6"/>
          </w:tcPr>
          <w:p>
            <w:r/>
            <w:r>
              <w:rPr>
                <w:sz w:val="17"/>
              </w:rPr>
            </w:r>
          </w:p>
        </w:tc>
        <w:tc>
          <w:tcPr>
            <w:tcW w:type="dxa" w:w="1440"/>
            <w:shd w:val="clear" w:color="auto" w:fill="FFF9E6"/>
          </w:tcPr>
          <w:p>
            <w:r/>
            <w:r>
              <w:rPr>
                <w:sz w:val="17"/>
              </w:rPr>
            </w:r>
          </w:p>
        </w:tc>
        <w:tc>
          <w:tcPr>
            <w:tcW w:type="dxa" w:w="3744"/>
          </w:tcPr>
          <w:p>
            <w:r/>
            <w:r>
              <w:rPr>
                <w:sz w:val="17"/>
              </w:rPr>
              <w:t>Συνήθης (άρθρο 13)</w:t>
            </w:r>
          </w:p>
        </w:tc>
      </w:tr>
      <w:tr>
        <w:tc>
          <w:tcPr>
            <w:tcW w:type="dxa" w:w="2592"/>
          </w:tcPr>
          <w:p>
            <w:r/>
            <w:r>
              <w:rPr>
                <w:sz w:val="17"/>
              </w:rPr>
              <w:t>Υψηλός</w:t>
            </w:r>
          </w:p>
        </w:tc>
        <w:tc>
          <w:tcPr>
            <w:tcW w:type="dxa" w:w="1728"/>
            <w:shd w:val="clear" w:color="auto" w:fill="FFF9E6"/>
          </w:tcPr>
          <w:p>
            <w:r/>
            <w:r>
              <w:rPr>
                <w:sz w:val="17"/>
              </w:rPr>
            </w:r>
          </w:p>
        </w:tc>
        <w:tc>
          <w:tcPr>
            <w:tcW w:type="dxa" w:w="1440"/>
            <w:shd w:val="clear" w:color="auto" w:fill="FFF9E6"/>
          </w:tcPr>
          <w:p>
            <w:r/>
            <w:r>
              <w:rPr>
                <w:sz w:val="17"/>
              </w:rPr>
            </w:r>
          </w:p>
        </w:tc>
        <w:tc>
          <w:tcPr>
            <w:tcW w:type="dxa" w:w="3744"/>
          </w:tcPr>
          <w:p>
            <w:r/>
            <w:r>
              <w:rPr>
                <w:sz w:val="17"/>
              </w:rPr>
              <w:t>Αυξημένη (άρθρα 16, 16Α, 18)</w:t>
            </w:r>
          </w:p>
        </w:tc>
      </w:tr>
      <w:tr>
        <w:tc>
          <w:tcPr>
            <w:tcW w:type="dxa" w:w="2592"/>
          </w:tcPr>
          <w:p>
            <w:r/>
            <w:r>
              <w:rPr>
                <w:sz w:val="17"/>
              </w:rPr>
              <w:t>Σύνολο</w:t>
            </w:r>
          </w:p>
        </w:tc>
        <w:tc>
          <w:tcPr>
            <w:tcW w:type="dxa" w:w="1728"/>
            <w:shd w:val="clear" w:color="auto" w:fill="FFF9E6"/>
          </w:tcPr>
          <w:p>
            <w:r/>
            <w:r>
              <w:rPr>
                <w:sz w:val="17"/>
              </w:rPr>
            </w:r>
          </w:p>
        </w:tc>
        <w:tc>
          <w:tcPr>
            <w:tcW w:type="dxa" w:w="1440"/>
            <w:shd w:val="clear" w:color="auto" w:fill="FFF9E6"/>
          </w:tcPr>
          <w:p>
            <w:r/>
            <w:r>
              <w:rPr>
                <w:sz w:val="17"/>
              </w:rPr>
            </w:r>
          </w:p>
        </w:tc>
        <w:tc>
          <w:tcPr>
            <w:tcW w:type="dxa" w:w="3744"/>
          </w:tcPr>
          <w:p>
            <w:r/>
            <w:r>
              <w:rPr>
                <w:sz w:val="17"/>
              </w:rPr>
            </w:r>
          </w:p>
        </w:tc>
      </w:tr>
    </w:tbl>
    <w:p>
      <w:pPr>
        <w:spacing w:after="40"/>
      </w:pP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3744"/>
        <w:gridCol w:w="5760"/>
      </w:tblGrid>
      <w:tr>
        <w:tc>
          <w:tcPr>
            <w:tcW w:type="dxa" w:w="3744"/>
            <w:shd w:val="clear" w:color="auto" w:fill="EEF4F9"/>
          </w:tcPr>
          <w:p>
            <w:r/>
            <w:r>
              <w:rPr>
                <w:b/>
                <w:sz w:val="17"/>
              </w:rPr>
              <w:t>Έκδοση και ημερομηνία της συγκεντρωτικής κατάστασης που ενσωματώνεται</w:t>
            </w:r>
          </w:p>
        </w:tc>
        <w:tc>
          <w:tcPr>
            <w:tcW w:type="dxa" w:w="5760"/>
            <w:shd w:val="clear" w:color="auto" w:fill="FFF9E6"/>
          </w:tcPr>
          <w:p>
            <w:r/>
            <w:r>
              <w:rPr>
                <w:sz w:val="17"/>
              </w:rPr>
            </w:r>
          </w:p>
        </w:tc>
      </w:tr>
      <w:tr>
        <w:tc>
          <w:tcPr>
            <w:tcW w:type="dxa" w:w="3744"/>
            <w:shd w:val="clear" w:color="auto" w:fill="EEF4F9"/>
          </w:tcPr>
          <w:p>
            <w:r/>
            <w:r>
              <w:rPr>
                <w:b/>
                <w:sz w:val="17"/>
              </w:rPr>
              <w:t>Συχνότεροι παράγοντες του Παραρτήματος ΙΙ στο πελατολόγιο</w:t>
            </w:r>
          </w:p>
        </w:tc>
        <w:tc>
          <w:tcPr>
            <w:tcW w:type="dxa" w:w="5760"/>
            <w:shd w:val="clear" w:color="auto" w:fill="FFF9E6"/>
          </w:tcPr>
          <w:p>
            <w:r/>
            <w:r>
              <w:rPr>
                <w:sz w:val="17"/>
              </w:rPr>
            </w:r>
          </w:p>
        </w:tc>
      </w:tr>
    </w:tbl>
    <w:p>
      <w:pPr>
        <w:spacing w:after="40"/>
      </w:pPr>
    </w:p>
    <w:p>
      <w:pPr>
        <w:spacing w:before="260" w:after="120"/>
      </w:pPr>
      <w:r>
        <w:rPr>
          <w:b/>
          <w:i w:val="0"/>
          <w:color w:val="1A3A5C"/>
          <w:sz w:val="22"/>
        </w:rPr>
        <w:t>2. ΤΙ ΕΠΙΒΑΛΛΕΙ Ο ΝΟΜΟΣ ΚΑΙ ΤΙ ΑΠΑΝΤΑ ΤΟ ΠΑΡΟΝ</w:t>
      </w:r>
    </w:p>
    <w:p>
      <w:pPr>
        <w:spacing w:before="0" w:after="80"/>
      </w:pPr>
      <w:r>
        <w:rPr>
          <w:b w:val="0"/>
          <w:i w:val="0"/>
          <w:sz w:val="19"/>
        </w:rPr>
        <w:t>Η παρ. 1 του άρθρου 35 επιβάλλει στο γραφείο να «εντοπίζει και να εκτιμά τους κινδύνους» λαμβάνοντας υπόψη «παράγοντες κινδύνου, όπως αυτούς που σχετίζονται με τους πελάτες, τις χώρες ή τις γεωγραφικές περιοχές, τα προϊόντα, τις υπηρεσίες, τις συναλλαγές ή τους διαύλους παροχής υπηρεσιών». Η παρ. 9 του άρθρου 13 επιτρέπει να καθορίζεται «η έκταση των μέτρων ανάλογα με τον βαθμό κινδύνου» και απαιτεί το γραφείο να είναι «σε θέση να αποδείξει στις αρμόδιες Αρχές, ότι η έκταση των μέτρων είναι ανάλογη με τους κινδύνους». Η παρ. 2 του άρθρου 35 απαιτεί οι εκτιμήσεις να «τεκμηριώνονται, επικαιροποιούνται και τίθενται στη διάθεση της αρμόδιας αρχής». Η παρ. 2 του άρθρου 15 και η παρ. 4 του άρθρου 16 ορίζουν ότι λαμβάνονται υπόψη «τουλάχιστον» οι παράγοντες των Παραρτημάτων Ι και ΙΙ.</w:t>
      </w:r>
    </w:p>
    <w:p>
      <w:pPr>
        <w:spacing w:before="0" w:after="80"/>
      </w:pPr>
      <w:r>
        <w:rPr>
          <w:b w:val="0"/>
          <w:i w:val="0"/>
          <w:sz w:val="19"/>
        </w:rPr>
        <w:t>Το παρόν κείμενο είναι η γραπτή μεθοδολογία που ζητά το ερώτημα 15 του ελέγχου, περιλαμβάνει τους παράγοντες που ζητά το ερώτημα 16 (τύπος πελάτη, γεωγραφικές περιοχές, τρόποι πληρωμής, προϊόντα και υπηρεσίες) και αντιστοιχίζει κάθε κριτήριο με τον κωδικό του Παραρτήματος Ι ή ΙΙ που ζητά το ερώτημα 17. Η εφαρμογή του σε κάθε πελάτη αποτυπώνεται στο φύλλο ανάλυσης κινδύνου πελάτη και το αποτέλεσμα συγκεντρώνεται στη συγκεντρωτική κατάσταση κατάταξης πελατών. Ο νόμος δεν επιβάλλει συγκεκριμένη μεθοδολογία ούτε βαθμούς. Επιβάλλει να υπάρχει μία, να είναι γραπτή, να στηρίζεται στους παράγοντες των Παραρτημάτων και να εφαρμόζεται «με συνέπεια και αποτελεσματικότητα».</w:t>
      </w:r>
    </w:p>
    <w:p>
      <w:pPr>
        <w:spacing w:before="260" w:after="120"/>
      </w:pPr>
      <w:r>
        <w:rPr>
          <w:b/>
          <w:i w:val="0"/>
          <w:color w:val="1A3A5C"/>
          <w:sz w:val="22"/>
        </w:rPr>
        <w:t>3. Η ΜΕΘΟΔΟΛΟΓΙΑ ΒΑΘΜΟΛΟΓΗΣΗΣ</w:t>
      </w:r>
    </w:p>
    <w:p>
      <w:pPr>
        <w:spacing w:before="0" w:after="80"/>
      </w:pPr>
      <w:r>
        <w:rPr>
          <w:b w:val="0"/>
          <w:i w:val="0"/>
          <w:sz w:val="19"/>
        </w:rPr>
        <w:t>Κάθε πελάτης βαθμολογείται σε τέσσερις άξονες, που αντιστοιχούν στους παράγοντες της παρ. 1 του άρθρου 35 και στο ερώτημα 16 του ελέγχου. Κάθε άξονας παίρνει από 0 έως 25 βαθμούς, οπότε το σύνολο κινείται από 0 έως 100. Σε κάθε άξονα λαμβάνεται ο υψηλότερος βαθμός του χαρακτηριστικού που συντρέχει· αν συντρέχουν περισσότερα, προστίθενται 5 βαθμοί για καθένα επιπλέον, χωρίς ο άξονας να υπερβεί το 25. Οι παράγοντες του Παραρτήματος Ι δεν αφαιρούν, κρατούν τον άξονα στο μηδέν. Το σύνολο των τεσσάρων αξόνων δίνει την κατηγορία, εκτός αν συντρέχει περίπτωση που υπερισχύει, οπότε ο πελάτης κατατάσσεται σε υψηλό κίνδυνο ανεξαρτήτως συνόλου.</w:t>
      </w:r>
    </w:p>
    <w:p>
      <w:pPr>
        <w:spacing w:before="180" w:after="80"/>
      </w:pPr>
      <w:r>
        <w:rPr>
          <w:b/>
          <w:i w:val="0"/>
          <w:color w:val="1A3A5C"/>
          <w:sz w:val="20"/>
        </w:rPr>
        <w:t>Άξονας Α. Ο τύπος και η φύση του πελάτη (0 έως 25)</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6048"/>
        <w:gridCol w:w="2304"/>
        <w:gridCol w:w="1152"/>
      </w:tblGrid>
      <w:tr>
        <w:tc>
          <w:tcPr>
            <w:tcW w:type="dxa" w:w="6048"/>
            <w:shd w:val="clear" w:color="auto" w:fill="1A3A5C"/>
          </w:tcPr>
          <w:p>
            <w:r/>
            <w:r>
              <w:rPr>
                <w:b/>
                <w:color w:val="FFFFFF"/>
                <w:sz w:val="17"/>
              </w:rPr>
              <w:t>Χαρακτηριστικό</w:t>
            </w:r>
          </w:p>
        </w:tc>
        <w:tc>
          <w:tcPr>
            <w:tcW w:type="dxa" w:w="2304"/>
            <w:shd w:val="clear" w:color="auto" w:fill="1A3A5C"/>
          </w:tcPr>
          <w:p>
            <w:r/>
            <w:r>
              <w:rPr>
                <w:b/>
                <w:color w:val="FFFFFF"/>
                <w:sz w:val="17"/>
              </w:rPr>
              <w:t>Παράρτημα / διάταξη</w:t>
            </w:r>
          </w:p>
        </w:tc>
        <w:tc>
          <w:tcPr>
            <w:tcW w:type="dxa" w:w="1152"/>
            <w:shd w:val="clear" w:color="auto" w:fill="1A3A5C"/>
          </w:tcPr>
          <w:p>
            <w:r/>
            <w:r>
              <w:rPr>
                <w:b/>
                <w:color w:val="FFFFFF"/>
                <w:sz w:val="17"/>
              </w:rPr>
              <w:t>Βαθμοί</w:t>
            </w:r>
          </w:p>
        </w:tc>
      </w:tr>
      <w:tr>
        <w:tc>
          <w:tcPr>
            <w:tcW w:type="dxa" w:w="6048"/>
          </w:tcPr>
          <w:p>
            <w:r/>
            <w:r>
              <w:rPr>
                <w:sz w:val="17"/>
              </w:rPr>
              <w:t>Εισηγμένη σε ρυθμιζόμενη αγορά της Ε.Ε. ή ισοδύναμη, ή δημόσια αρχή, ΝΠΔΔ, πλειοψηφικά κρατική επιχείρηση, όργανο Ε.Ε.</w:t>
            </w:r>
          </w:p>
        </w:tc>
        <w:tc>
          <w:tcPr>
            <w:tcW w:type="dxa" w:w="2304"/>
          </w:tcPr>
          <w:p>
            <w:r/>
            <w:r>
              <w:rPr>
                <w:sz w:val="17"/>
              </w:rPr>
              <w:t>Ι-1α, Ι-1β</w:t>
            </w:r>
          </w:p>
        </w:tc>
        <w:tc>
          <w:tcPr>
            <w:tcW w:type="dxa" w:w="1152"/>
          </w:tcPr>
          <w:p>
            <w:r/>
            <w:r>
              <w:rPr>
                <w:sz w:val="17"/>
              </w:rPr>
              <w:t>0</w:t>
            </w:r>
          </w:p>
        </w:tc>
      </w:tr>
      <w:tr>
        <w:tc>
          <w:tcPr>
            <w:tcW w:type="dxa" w:w="6048"/>
          </w:tcPr>
          <w:p>
            <w:r/>
            <w:r>
              <w:rPr>
                <w:sz w:val="17"/>
              </w:rPr>
              <w:t>Φυσικό πρόσωπο ή απλή οντότητα με σαφή, επαληθεύσιμη ταυτότητα και σταθερή δραστηριότητα</w:t>
            </w:r>
          </w:p>
        </w:tc>
        <w:tc>
          <w:tcPr>
            <w:tcW w:type="dxa" w:w="2304"/>
          </w:tcPr>
          <w:p>
            <w:r/>
            <w:r>
              <w:rPr>
                <w:sz w:val="17"/>
              </w:rPr>
              <w:t>βάση</w:t>
            </w:r>
          </w:p>
        </w:tc>
        <w:tc>
          <w:tcPr>
            <w:tcW w:type="dxa" w:w="1152"/>
          </w:tcPr>
          <w:p>
            <w:r/>
            <w:r>
              <w:rPr>
                <w:sz w:val="17"/>
              </w:rPr>
              <w:t>5</w:t>
            </w:r>
          </w:p>
        </w:tc>
      </w:tr>
      <w:tr>
        <w:tc>
          <w:tcPr>
            <w:tcW w:type="dxa" w:w="6048"/>
          </w:tcPr>
          <w:p>
            <w:r/>
            <w:r>
              <w:rPr>
                <w:sz w:val="17"/>
              </w:rPr>
              <w:t>Επιχειρηματική σχέση που αναπτύσσεται σε ασυνήθιστες περιστάσεις</w:t>
            </w:r>
          </w:p>
        </w:tc>
        <w:tc>
          <w:tcPr>
            <w:tcW w:type="dxa" w:w="2304"/>
          </w:tcPr>
          <w:p>
            <w:r/>
            <w:r>
              <w:rPr>
                <w:sz w:val="17"/>
              </w:rPr>
              <w:t>ΙΙ-1α</w:t>
            </w:r>
          </w:p>
        </w:tc>
        <w:tc>
          <w:tcPr>
            <w:tcW w:type="dxa" w:w="1152"/>
          </w:tcPr>
          <w:p>
            <w:r/>
            <w:r>
              <w:rPr>
                <w:sz w:val="17"/>
              </w:rPr>
              <w:t>15</w:t>
            </w:r>
          </w:p>
        </w:tc>
      </w:tr>
      <w:tr>
        <w:tc>
          <w:tcPr>
            <w:tcW w:type="dxa" w:w="6048"/>
          </w:tcPr>
          <w:p>
            <w:r/>
            <w:r>
              <w:rPr>
                <w:sz w:val="17"/>
              </w:rPr>
              <w:t>Νομικό πρόσωπο ή οντότητα φορέας κατοχής προσωπικών περιουσιακών στοιχείων</w:t>
            </w:r>
          </w:p>
        </w:tc>
        <w:tc>
          <w:tcPr>
            <w:tcW w:type="dxa" w:w="2304"/>
          </w:tcPr>
          <w:p>
            <w:r/>
            <w:r>
              <w:rPr>
                <w:sz w:val="17"/>
              </w:rPr>
              <w:t>ΙΙ-1γ</w:t>
            </w:r>
          </w:p>
        </w:tc>
        <w:tc>
          <w:tcPr>
            <w:tcW w:type="dxa" w:w="1152"/>
          </w:tcPr>
          <w:p>
            <w:r/>
            <w:r>
              <w:rPr>
                <w:sz w:val="17"/>
              </w:rPr>
              <w:t>15</w:t>
            </w:r>
          </w:p>
        </w:tc>
      </w:tr>
      <w:tr>
        <w:tc>
          <w:tcPr>
            <w:tcW w:type="dxa" w:w="6048"/>
          </w:tcPr>
          <w:p>
            <w:r/>
            <w:r>
              <w:rPr>
                <w:sz w:val="17"/>
              </w:rPr>
              <w:t>Επιχείρηση έντασης μετρητών</w:t>
            </w:r>
          </w:p>
        </w:tc>
        <w:tc>
          <w:tcPr>
            <w:tcW w:type="dxa" w:w="2304"/>
          </w:tcPr>
          <w:p>
            <w:r/>
            <w:r>
              <w:rPr>
                <w:sz w:val="17"/>
              </w:rPr>
              <w:t>ΙΙ-1ε</w:t>
            </w:r>
          </w:p>
        </w:tc>
        <w:tc>
          <w:tcPr>
            <w:tcW w:type="dxa" w:w="1152"/>
          </w:tcPr>
          <w:p>
            <w:r/>
            <w:r>
              <w:rPr>
                <w:sz w:val="17"/>
              </w:rPr>
              <w:t>15</w:t>
            </w:r>
          </w:p>
        </w:tc>
      </w:tr>
      <w:tr>
        <w:tc>
          <w:tcPr>
            <w:tcW w:type="dxa" w:w="6048"/>
          </w:tcPr>
          <w:p>
            <w:r/>
            <w:r>
              <w:rPr>
                <w:sz w:val="17"/>
              </w:rPr>
              <w:t>Μέτοχοι ασκούντες καθήκοντα εξ ονόματος άλλου ή μετοχές στον κομιστή</w:t>
            </w:r>
          </w:p>
        </w:tc>
        <w:tc>
          <w:tcPr>
            <w:tcW w:type="dxa" w:w="2304"/>
          </w:tcPr>
          <w:p>
            <w:r/>
            <w:r>
              <w:rPr>
                <w:sz w:val="17"/>
              </w:rPr>
              <w:t>ΙΙ-1δ</w:t>
            </w:r>
          </w:p>
        </w:tc>
        <w:tc>
          <w:tcPr>
            <w:tcW w:type="dxa" w:w="1152"/>
          </w:tcPr>
          <w:p>
            <w:r/>
            <w:r>
              <w:rPr>
                <w:sz w:val="17"/>
              </w:rPr>
              <w:t>20</w:t>
            </w:r>
          </w:p>
        </w:tc>
      </w:tr>
      <w:tr>
        <w:tc>
          <w:tcPr>
            <w:tcW w:type="dxa" w:w="6048"/>
          </w:tcPr>
          <w:p>
            <w:r/>
            <w:r>
              <w:rPr>
                <w:sz w:val="17"/>
              </w:rPr>
              <w:t>Ασυνήθιστη ή υπερβολικά πολύπλοκη ιδιοκτησιακή δομή, δεδομένης της φύσης των δραστηριοτήτων</w:t>
            </w:r>
          </w:p>
        </w:tc>
        <w:tc>
          <w:tcPr>
            <w:tcW w:type="dxa" w:w="2304"/>
          </w:tcPr>
          <w:p>
            <w:r/>
            <w:r>
              <w:rPr>
                <w:sz w:val="17"/>
              </w:rPr>
              <w:t>ΙΙ-1στ</w:t>
            </w:r>
          </w:p>
        </w:tc>
        <w:tc>
          <w:tcPr>
            <w:tcW w:type="dxa" w:w="1152"/>
          </w:tcPr>
          <w:p>
            <w:r/>
            <w:r>
              <w:rPr>
                <w:sz w:val="17"/>
              </w:rPr>
              <w:t>20</w:t>
            </w:r>
          </w:p>
        </w:tc>
      </w:tr>
      <w:tr>
        <w:tc>
          <w:tcPr>
            <w:tcW w:type="dxa" w:w="6048"/>
          </w:tcPr>
          <w:p>
            <w:r/>
            <w:r>
              <w:rPr>
                <w:sz w:val="17"/>
              </w:rPr>
              <w:t>Υπήκοος τρίτης χώρας με αίτηση διαμονής ή ιθαγένειας έναντι επένδυσης</w:t>
            </w:r>
          </w:p>
        </w:tc>
        <w:tc>
          <w:tcPr>
            <w:tcW w:type="dxa" w:w="2304"/>
          </w:tcPr>
          <w:p>
            <w:r/>
            <w:r>
              <w:rPr>
                <w:sz w:val="17"/>
              </w:rPr>
              <w:t>ΙΙ-1ζ</w:t>
            </w:r>
          </w:p>
        </w:tc>
        <w:tc>
          <w:tcPr>
            <w:tcW w:type="dxa" w:w="1152"/>
          </w:tcPr>
          <w:p>
            <w:r/>
            <w:r>
              <w:rPr>
                <w:sz w:val="17"/>
              </w:rPr>
              <w:t>20</w:t>
            </w:r>
          </w:p>
        </w:tc>
      </w:tr>
      <w:tr>
        <w:tc>
          <w:tcPr>
            <w:tcW w:type="dxa" w:w="6048"/>
          </w:tcPr>
          <w:p>
            <w:r/>
            <w:r>
              <w:rPr>
                <w:sz w:val="17"/>
              </w:rPr>
              <w:t>Ο πραγματικός δικαιούχος δεν προσδιορίστηκε παρά την εξάντληση των μέσων</w:t>
            </w:r>
          </w:p>
        </w:tc>
        <w:tc>
          <w:tcPr>
            <w:tcW w:type="dxa" w:w="2304"/>
          </w:tcPr>
          <w:p>
            <w:r/>
            <w:r>
              <w:rPr>
                <w:sz w:val="17"/>
              </w:rPr>
              <w:t>παρ. 17 άρθρου 3, υποπερ. αβ΄</w:t>
            </w:r>
          </w:p>
        </w:tc>
        <w:tc>
          <w:tcPr>
            <w:tcW w:type="dxa" w:w="1152"/>
          </w:tcPr>
          <w:p>
            <w:r/>
            <w:r>
              <w:rPr>
                <w:sz w:val="17"/>
              </w:rPr>
              <w:t>25</w:t>
            </w:r>
          </w:p>
        </w:tc>
      </w:tr>
      <w:tr>
        <w:tc>
          <w:tcPr>
            <w:tcW w:type="dxa" w:w="6048"/>
          </w:tcPr>
          <w:p>
            <w:r/>
            <w:r>
              <w:rPr>
                <w:sz w:val="17"/>
              </w:rPr>
              <w:t>Πελάτης ή πραγματικός δικαιούχος ΠΕΠ, στενός συγγενής ή στενός συνεργάτης</w:t>
            </w:r>
          </w:p>
        </w:tc>
        <w:tc>
          <w:tcPr>
            <w:tcW w:type="dxa" w:w="2304"/>
          </w:tcPr>
          <w:p>
            <w:r/>
            <w:r>
              <w:rPr>
                <w:sz w:val="17"/>
              </w:rPr>
              <w:t>άρθρο 18</w:t>
            </w:r>
          </w:p>
        </w:tc>
        <w:tc>
          <w:tcPr>
            <w:tcW w:type="dxa" w:w="1152"/>
          </w:tcPr>
          <w:p>
            <w:r/>
            <w:r>
              <w:rPr>
                <w:sz w:val="17"/>
              </w:rPr>
              <w:t>ΥΠΕΡΙΣΧΥΕΙ</w:t>
            </w:r>
          </w:p>
        </w:tc>
      </w:tr>
    </w:tbl>
    <w:p>
      <w:pPr>
        <w:spacing w:after="40"/>
      </w:pPr>
    </w:p>
    <w:p>
      <w:pPr>
        <w:spacing w:before="180" w:after="80"/>
      </w:pPr>
      <w:r>
        <w:rPr>
          <w:b/>
          <w:i w:val="0"/>
          <w:color w:val="1A3A5C"/>
          <w:sz w:val="20"/>
        </w:rPr>
        <w:t>Άξονας Β. Γεωγραφία, 0 έως 25 (λαμβάνεται η δυσμενέστερη από έδρα ή κατοικία, μετόχους, πραγματικό δικαιούχο και χώρες συναλλαγών)</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6048"/>
        <w:gridCol w:w="2304"/>
        <w:gridCol w:w="1152"/>
      </w:tblGrid>
      <w:tr>
        <w:tc>
          <w:tcPr>
            <w:tcW w:type="dxa" w:w="6048"/>
            <w:shd w:val="clear" w:color="auto" w:fill="1A3A5C"/>
          </w:tcPr>
          <w:p>
            <w:r/>
            <w:r>
              <w:rPr>
                <w:b/>
                <w:color w:val="FFFFFF"/>
                <w:sz w:val="17"/>
              </w:rPr>
              <w:t>Χαρακτηριστικό</w:t>
            </w:r>
          </w:p>
        </w:tc>
        <w:tc>
          <w:tcPr>
            <w:tcW w:type="dxa" w:w="2304"/>
            <w:shd w:val="clear" w:color="auto" w:fill="1A3A5C"/>
          </w:tcPr>
          <w:p>
            <w:r/>
            <w:r>
              <w:rPr>
                <w:b/>
                <w:color w:val="FFFFFF"/>
                <w:sz w:val="17"/>
              </w:rPr>
              <w:t>Παράρτημα / διάταξη</w:t>
            </w:r>
          </w:p>
        </w:tc>
        <w:tc>
          <w:tcPr>
            <w:tcW w:type="dxa" w:w="1152"/>
            <w:shd w:val="clear" w:color="auto" w:fill="1A3A5C"/>
          </w:tcPr>
          <w:p>
            <w:r/>
            <w:r>
              <w:rPr>
                <w:b/>
                <w:color w:val="FFFFFF"/>
                <w:sz w:val="17"/>
              </w:rPr>
              <w:t>Βαθμοί</w:t>
            </w:r>
          </w:p>
        </w:tc>
      </w:tr>
      <w:tr>
        <w:tc>
          <w:tcPr>
            <w:tcW w:type="dxa" w:w="6048"/>
          </w:tcPr>
          <w:p>
            <w:r/>
            <w:r>
              <w:rPr>
                <w:sz w:val="17"/>
              </w:rPr>
              <w:t>Ελλάδα ή άλλο κράτος μέλος της Ε.Ε.</w:t>
            </w:r>
          </w:p>
        </w:tc>
        <w:tc>
          <w:tcPr>
            <w:tcW w:type="dxa" w:w="2304"/>
          </w:tcPr>
          <w:p>
            <w:r/>
            <w:r>
              <w:rPr>
                <w:sz w:val="17"/>
              </w:rPr>
              <w:t>Ι-3α</w:t>
            </w:r>
          </w:p>
        </w:tc>
        <w:tc>
          <w:tcPr>
            <w:tcW w:type="dxa" w:w="1152"/>
          </w:tcPr>
          <w:p>
            <w:r/>
            <w:r>
              <w:rPr>
                <w:sz w:val="17"/>
              </w:rPr>
              <w:t>0</w:t>
            </w:r>
          </w:p>
        </w:tc>
      </w:tr>
      <w:tr>
        <w:tc>
          <w:tcPr>
            <w:tcW w:type="dxa" w:w="6048"/>
          </w:tcPr>
          <w:p>
            <w:r/>
            <w:r>
              <w:rPr>
                <w:sz w:val="17"/>
              </w:rPr>
              <w:t>Τρίτη χώρα με θετική αξιολόγηση κατά τις συστάσεις της FATF, τεκμηριωμένη</w:t>
            </w:r>
          </w:p>
        </w:tc>
        <w:tc>
          <w:tcPr>
            <w:tcW w:type="dxa" w:w="2304"/>
          </w:tcPr>
          <w:p>
            <w:r/>
            <w:r>
              <w:rPr>
                <w:sz w:val="17"/>
              </w:rPr>
              <w:t>Ι-3β, Ι-3γ</w:t>
            </w:r>
          </w:p>
        </w:tc>
        <w:tc>
          <w:tcPr>
            <w:tcW w:type="dxa" w:w="1152"/>
          </w:tcPr>
          <w:p>
            <w:r/>
            <w:r>
              <w:rPr>
                <w:sz w:val="17"/>
              </w:rPr>
              <w:t>5</w:t>
            </w:r>
          </w:p>
        </w:tc>
      </w:tr>
      <w:tr>
        <w:tc>
          <w:tcPr>
            <w:tcW w:type="dxa" w:w="6048"/>
          </w:tcPr>
          <w:p>
            <w:r/>
            <w:r>
              <w:rPr>
                <w:sz w:val="17"/>
              </w:rPr>
              <w:t>Τρίτη χώρα χωρίς ιδιαίτερα ευρήματα, αλλά και χωρίς θετική αξιολόγηση</w:t>
            </w:r>
          </w:p>
        </w:tc>
        <w:tc>
          <w:tcPr>
            <w:tcW w:type="dxa" w:w="2304"/>
          </w:tcPr>
          <w:p>
            <w:r/>
            <w:r>
              <w:rPr>
                <w:sz w:val="17"/>
              </w:rPr>
              <w:t>επιλογή μοντέλου</w:t>
            </w:r>
          </w:p>
        </w:tc>
        <w:tc>
          <w:tcPr>
            <w:tcW w:type="dxa" w:w="1152"/>
          </w:tcPr>
          <w:p>
            <w:r/>
            <w:r>
              <w:rPr>
                <w:sz w:val="17"/>
              </w:rPr>
              <w:t>10</w:t>
            </w:r>
          </w:p>
        </w:tc>
      </w:tr>
      <w:tr>
        <w:tc>
          <w:tcPr>
            <w:tcW w:type="dxa" w:w="6048"/>
          </w:tcPr>
          <w:p>
            <w:r/>
            <w:r>
              <w:rPr>
                <w:sz w:val="17"/>
              </w:rPr>
              <w:t>Χώρα με υψηλά επίπεδα διαφθοράς ή οργανωμένου εγκλήματος κατά αξιόπιστες πηγές</w:t>
            </w:r>
          </w:p>
        </w:tc>
        <w:tc>
          <w:tcPr>
            <w:tcW w:type="dxa" w:w="2304"/>
          </w:tcPr>
          <w:p>
            <w:r/>
            <w:r>
              <w:rPr>
                <w:sz w:val="17"/>
              </w:rPr>
              <w:t>ΙΙ-3β</w:t>
            </w:r>
          </w:p>
        </w:tc>
        <w:tc>
          <w:tcPr>
            <w:tcW w:type="dxa" w:w="1152"/>
          </w:tcPr>
          <w:p>
            <w:r/>
            <w:r>
              <w:rPr>
                <w:sz w:val="17"/>
              </w:rPr>
              <w:t>15</w:t>
            </w:r>
          </w:p>
        </w:tc>
      </w:tr>
      <w:tr>
        <w:tc>
          <w:tcPr>
            <w:tcW w:type="dxa" w:w="6048"/>
          </w:tcPr>
          <w:p>
            <w:r/>
            <w:r>
              <w:rPr>
                <w:sz w:val="17"/>
              </w:rPr>
              <w:t>Χώρα με διαπιστωμένη έλλειψη αποτελεσματικών συστημάτων AML/CFT</w:t>
            </w:r>
          </w:p>
        </w:tc>
        <w:tc>
          <w:tcPr>
            <w:tcW w:type="dxa" w:w="2304"/>
          </w:tcPr>
          <w:p>
            <w:r/>
            <w:r>
              <w:rPr>
                <w:sz w:val="17"/>
              </w:rPr>
              <w:t>ΙΙ-3α</w:t>
            </w:r>
          </w:p>
        </w:tc>
        <w:tc>
          <w:tcPr>
            <w:tcW w:type="dxa" w:w="1152"/>
          </w:tcPr>
          <w:p>
            <w:r/>
            <w:r>
              <w:rPr>
                <w:sz w:val="17"/>
              </w:rPr>
              <w:t>20</w:t>
            </w:r>
          </w:p>
        </w:tc>
      </w:tr>
      <w:tr>
        <w:tc>
          <w:tcPr>
            <w:tcW w:type="dxa" w:w="6048"/>
          </w:tcPr>
          <w:p>
            <w:r/>
            <w:r>
              <w:rPr>
                <w:sz w:val="17"/>
              </w:rPr>
              <w:t>Τρίτη χώρα υψηλού κινδύνου κατά τον κατάλογο της Ευρωπαϊκής Επιτροπής</w:t>
            </w:r>
          </w:p>
        </w:tc>
        <w:tc>
          <w:tcPr>
            <w:tcW w:type="dxa" w:w="2304"/>
          </w:tcPr>
          <w:p>
            <w:r/>
            <w:r>
              <w:rPr>
                <w:sz w:val="17"/>
              </w:rPr>
              <w:t>παρ. 1 άρθρου 16, άρθρο 16Α</w:t>
            </w:r>
          </w:p>
        </w:tc>
        <w:tc>
          <w:tcPr>
            <w:tcW w:type="dxa" w:w="1152"/>
          </w:tcPr>
          <w:p>
            <w:r/>
            <w:r>
              <w:rPr>
                <w:sz w:val="17"/>
              </w:rPr>
              <w:t>ΥΠΕΡΙΣΧΥΕΙ</w:t>
            </w:r>
          </w:p>
        </w:tc>
      </w:tr>
      <w:tr>
        <w:tc>
          <w:tcPr>
            <w:tcW w:type="dxa" w:w="6048"/>
          </w:tcPr>
          <w:p>
            <w:r/>
            <w:r>
              <w:rPr>
                <w:sz w:val="17"/>
              </w:rPr>
              <w:t>Χώρα υπό κυρώσεις ή περιοριστικά μέτρα Ε.Ε. ή Ο.Η.Ε.</w:t>
            </w:r>
          </w:p>
        </w:tc>
        <w:tc>
          <w:tcPr>
            <w:tcW w:type="dxa" w:w="2304"/>
          </w:tcPr>
          <w:p>
            <w:r/>
            <w:r>
              <w:rPr>
                <w:sz w:val="17"/>
              </w:rPr>
              <w:t>ΙΙ-3γ</w:t>
            </w:r>
          </w:p>
        </w:tc>
        <w:tc>
          <w:tcPr>
            <w:tcW w:type="dxa" w:w="1152"/>
          </w:tcPr>
          <w:p>
            <w:r/>
            <w:r>
              <w:rPr>
                <w:sz w:val="17"/>
              </w:rPr>
              <w:t>ΥΠΕΡΙΣΧΥΕΙ</w:t>
            </w:r>
          </w:p>
        </w:tc>
      </w:tr>
      <w:tr>
        <w:tc>
          <w:tcPr>
            <w:tcW w:type="dxa" w:w="6048"/>
          </w:tcPr>
          <w:p>
            <w:r/>
            <w:r>
              <w:rPr>
                <w:sz w:val="17"/>
              </w:rPr>
              <w:t>Χώρα που χρηματοδοτεί ή υποστηρίζει τρομοκρατικές δραστηριότητες</w:t>
            </w:r>
          </w:p>
        </w:tc>
        <w:tc>
          <w:tcPr>
            <w:tcW w:type="dxa" w:w="2304"/>
          </w:tcPr>
          <w:p>
            <w:r/>
            <w:r>
              <w:rPr>
                <w:sz w:val="17"/>
              </w:rPr>
              <w:t>ΙΙ-3δ</w:t>
            </w:r>
          </w:p>
        </w:tc>
        <w:tc>
          <w:tcPr>
            <w:tcW w:type="dxa" w:w="1152"/>
          </w:tcPr>
          <w:p>
            <w:r/>
            <w:r>
              <w:rPr>
                <w:sz w:val="17"/>
              </w:rPr>
              <w:t>ΥΠΕΡΙΣΧΥΕΙ</w:t>
            </w:r>
          </w:p>
        </w:tc>
      </w:tr>
    </w:tbl>
    <w:p>
      <w:pPr>
        <w:spacing w:after="40"/>
      </w:pPr>
    </w:p>
    <w:p>
      <w:pPr>
        <w:spacing w:before="180" w:after="80"/>
      </w:pPr>
      <w:r>
        <w:rPr>
          <w:b/>
          <w:i w:val="0"/>
          <w:color w:val="1A3A5C"/>
          <w:sz w:val="20"/>
        </w:rPr>
        <w:t>Άξονας Γ. Υπηρεσίες και προϊόντα (0 έως 25)</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6048"/>
        <w:gridCol w:w="2304"/>
        <w:gridCol w:w="1152"/>
      </w:tblGrid>
      <w:tr>
        <w:tc>
          <w:tcPr>
            <w:tcW w:type="dxa" w:w="6048"/>
            <w:shd w:val="clear" w:color="auto" w:fill="1A3A5C"/>
          </w:tcPr>
          <w:p>
            <w:r/>
            <w:r>
              <w:rPr>
                <w:b/>
                <w:color w:val="FFFFFF"/>
                <w:sz w:val="17"/>
              </w:rPr>
              <w:t>Χαρακτηριστικό</w:t>
            </w:r>
          </w:p>
        </w:tc>
        <w:tc>
          <w:tcPr>
            <w:tcW w:type="dxa" w:w="2304"/>
            <w:shd w:val="clear" w:color="auto" w:fill="1A3A5C"/>
          </w:tcPr>
          <w:p>
            <w:r/>
            <w:r>
              <w:rPr>
                <w:b/>
                <w:color w:val="FFFFFF"/>
                <w:sz w:val="17"/>
              </w:rPr>
              <w:t>Παράρτημα / διάταξη</w:t>
            </w:r>
          </w:p>
        </w:tc>
        <w:tc>
          <w:tcPr>
            <w:tcW w:type="dxa" w:w="1152"/>
            <w:shd w:val="clear" w:color="auto" w:fill="1A3A5C"/>
          </w:tcPr>
          <w:p>
            <w:r/>
            <w:r>
              <w:rPr>
                <w:b/>
                <w:color w:val="FFFFFF"/>
                <w:sz w:val="17"/>
              </w:rPr>
              <w:t>Βαθμοί</w:t>
            </w:r>
          </w:p>
        </w:tc>
      </w:tr>
      <w:tr>
        <w:tc>
          <w:tcPr>
            <w:tcW w:type="dxa" w:w="6048"/>
          </w:tcPr>
          <w:p>
            <w:r/>
            <w:r>
              <w:rPr>
                <w:sz w:val="17"/>
              </w:rPr>
              <w:t>Μόνο τήρηση βιβλίων και υποβολή δηλώσεων, μικρή κλίμακα, πλήρης διαφάνεια ως προς την ταυτότητα</w:t>
            </w:r>
          </w:p>
        </w:tc>
        <w:tc>
          <w:tcPr>
            <w:tcW w:type="dxa" w:w="2304"/>
          </w:tcPr>
          <w:p>
            <w:r/>
            <w:r>
              <w:rPr>
                <w:sz w:val="17"/>
              </w:rPr>
              <w:t>Ι-2ε</w:t>
            </w:r>
          </w:p>
        </w:tc>
        <w:tc>
          <w:tcPr>
            <w:tcW w:type="dxa" w:w="1152"/>
          </w:tcPr>
          <w:p>
            <w:r/>
            <w:r>
              <w:rPr>
                <w:sz w:val="17"/>
              </w:rPr>
              <w:t>0</w:t>
            </w:r>
          </w:p>
        </w:tc>
      </w:tr>
      <w:tr>
        <w:tc>
          <w:tcPr>
            <w:tcW w:type="dxa" w:w="6048"/>
          </w:tcPr>
          <w:p>
            <w:r/>
            <w:r>
              <w:rPr>
                <w:sz w:val="17"/>
              </w:rPr>
              <w:t>Τήρηση βιβλίων και δηλώσεις, χωρίς ιδιαίτερα χαρακτηριστικά</w:t>
            </w:r>
          </w:p>
        </w:tc>
        <w:tc>
          <w:tcPr>
            <w:tcW w:type="dxa" w:w="2304"/>
          </w:tcPr>
          <w:p>
            <w:r/>
            <w:r>
              <w:rPr>
                <w:sz w:val="17"/>
              </w:rPr>
              <w:t>βάση</w:t>
            </w:r>
          </w:p>
        </w:tc>
        <w:tc>
          <w:tcPr>
            <w:tcW w:type="dxa" w:w="1152"/>
          </w:tcPr>
          <w:p>
            <w:r/>
            <w:r>
              <w:rPr>
                <w:sz w:val="17"/>
              </w:rPr>
              <w:t>5</w:t>
            </w:r>
          </w:p>
        </w:tc>
      </w:tr>
      <w:tr>
        <w:tc>
          <w:tcPr>
            <w:tcW w:type="dxa" w:w="6048"/>
          </w:tcPr>
          <w:p>
            <w:r/>
            <w:r>
              <w:rPr>
                <w:sz w:val="17"/>
              </w:rPr>
              <w:t>Ανάληψη σύστασης εταιρειών, εταιρικών μεταβολών ή παροχής έδρας</w:t>
            </w:r>
          </w:p>
        </w:tc>
        <w:tc>
          <w:tcPr>
            <w:tcW w:type="dxa" w:w="2304"/>
          </w:tcPr>
          <w:p>
            <w:r/>
            <w:r>
              <w:rPr>
                <w:sz w:val="17"/>
              </w:rPr>
              <w:t>επιλογή μοντέλου</w:t>
            </w:r>
          </w:p>
        </w:tc>
        <w:tc>
          <w:tcPr>
            <w:tcW w:type="dxa" w:w="1152"/>
          </w:tcPr>
          <w:p>
            <w:r/>
            <w:r>
              <w:rPr>
                <w:sz w:val="17"/>
              </w:rPr>
              <w:t>10</w:t>
            </w:r>
          </w:p>
        </w:tc>
      </w:tr>
      <w:tr>
        <w:tc>
          <w:tcPr>
            <w:tcW w:type="dxa" w:w="6048"/>
          </w:tcPr>
          <w:p>
            <w:r/>
            <w:r>
              <w:rPr>
                <w:sz w:val="17"/>
              </w:rPr>
              <w:t>Ο πελάτης διατηρεί σχέση ιδιωτικής τραπεζικής</w:t>
            </w:r>
          </w:p>
        </w:tc>
        <w:tc>
          <w:tcPr>
            <w:tcW w:type="dxa" w:w="2304"/>
          </w:tcPr>
          <w:p>
            <w:r/>
            <w:r>
              <w:rPr>
                <w:sz w:val="17"/>
              </w:rPr>
              <w:t>ΙΙ-2α</w:t>
            </w:r>
          </w:p>
        </w:tc>
        <w:tc>
          <w:tcPr>
            <w:tcW w:type="dxa" w:w="1152"/>
          </w:tcPr>
          <w:p>
            <w:r/>
            <w:r>
              <w:rPr>
                <w:sz w:val="17"/>
              </w:rPr>
              <w:t>10</w:t>
            </w:r>
          </w:p>
        </w:tc>
      </w:tr>
      <w:tr>
        <w:tc>
          <w:tcPr>
            <w:tcW w:type="dxa" w:w="6048"/>
          </w:tcPr>
          <w:p>
            <w:r/>
            <w:r>
              <w:rPr>
                <w:sz w:val="17"/>
              </w:rPr>
              <w:t>Νέα προϊόντα ή πρακτικές, νέες ή αναπτυσσόμενες τεχνολογίες, όπως κρυπτοστοιχεία</w:t>
            </w:r>
          </w:p>
        </w:tc>
        <w:tc>
          <w:tcPr>
            <w:tcW w:type="dxa" w:w="2304"/>
          </w:tcPr>
          <w:p>
            <w:r/>
            <w:r>
              <w:rPr>
                <w:sz w:val="17"/>
              </w:rPr>
              <w:t>ΙΙ-2ε</w:t>
            </w:r>
          </w:p>
        </w:tc>
        <w:tc>
          <w:tcPr>
            <w:tcW w:type="dxa" w:w="1152"/>
          </w:tcPr>
          <w:p>
            <w:r/>
            <w:r>
              <w:rPr>
                <w:sz w:val="17"/>
              </w:rPr>
              <w:t>15</w:t>
            </w:r>
          </w:p>
        </w:tc>
      </w:tr>
      <w:tr>
        <w:tc>
          <w:tcPr>
            <w:tcW w:type="dxa" w:w="6048"/>
          </w:tcPr>
          <w:p>
            <w:r/>
            <w:r>
              <w:rPr>
                <w:sz w:val="17"/>
              </w:rPr>
              <w:t>Δραστηριότητα σε πετρέλαιο, πολύτιμα μέταλλα, καπνό, πολιτιστικά ή αρχαιολογικά αντικείμενα, ελεφαντοστό, προστατευόμενα είδη</w:t>
            </w:r>
          </w:p>
        </w:tc>
        <w:tc>
          <w:tcPr>
            <w:tcW w:type="dxa" w:w="2304"/>
          </w:tcPr>
          <w:p>
            <w:r/>
            <w:r>
              <w:rPr>
                <w:sz w:val="17"/>
              </w:rPr>
              <w:t>ΙΙ-2στ</w:t>
            </w:r>
          </w:p>
        </w:tc>
        <w:tc>
          <w:tcPr>
            <w:tcW w:type="dxa" w:w="1152"/>
          </w:tcPr>
          <w:p>
            <w:r/>
            <w:r>
              <w:rPr>
                <w:sz w:val="17"/>
              </w:rPr>
              <w:t>15</w:t>
            </w:r>
          </w:p>
        </w:tc>
      </w:tr>
      <w:tr>
        <w:tc>
          <w:tcPr>
            <w:tcW w:type="dxa" w:w="6048"/>
          </w:tcPr>
          <w:p>
            <w:r/>
            <w:r>
              <w:rPr>
                <w:sz w:val="17"/>
              </w:rPr>
              <w:t>Προϊόντα ή συναλλαγές που ευνοούν την ανωνυμία</w:t>
            </w:r>
          </w:p>
        </w:tc>
        <w:tc>
          <w:tcPr>
            <w:tcW w:type="dxa" w:w="2304"/>
          </w:tcPr>
          <w:p>
            <w:r/>
            <w:r>
              <w:rPr>
                <w:sz w:val="17"/>
              </w:rPr>
              <w:t>ΙΙ-2β</w:t>
            </w:r>
          </w:p>
        </w:tc>
        <w:tc>
          <w:tcPr>
            <w:tcW w:type="dxa" w:w="1152"/>
          </w:tcPr>
          <w:p>
            <w:r/>
            <w:r>
              <w:rPr>
                <w:sz w:val="17"/>
              </w:rPr>
              <w:t>20</w:t>
            </w:r>
          </w:p>
        </w:tc>
      </w:tr>
    </w:tbl>
    <w:p>
      <w:pPr>
        <w:spacing w:after="40"/>
      </w:pPr>
    </w:p>
    <w:p>
      <w:pPr>
        <w:spacing w:before="180" w:after="80"/>
      </w:pPr>
      <w:r>
        <w:rPr>
          <w:b/>
          <w:i w:val="0"/>
          <w:color w:val="1A3A5C"/>
          <w:sz w:val="20"/>
        </w:rPr>
        <w:t>Άξονας Δ. Συναλλαγές και δίαυλος (0 έως 25)</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6048"/>
        <w:gridCol w:w="2304"/>
        <w:gridCol w:w="1152"/>
      </w:tblGrid>
      <w:tr>
        <w:tc>
          <w:tcPr>
            <w:tcW w:type="dxa" w:w="6048"/>
            <w:shd w:val="clear" w:color="auto" w:fill="1A3A5C"/>
          </w:tcPr>
          <w:p>
            <w:r/>
            <w:r>
              <w:rPr>
                <w:b/>
                <w:color w:val="FFFFFF"/>
                <w:sz w:val="17"/>
              </w:rPr>
              <w:t>Χαρακτηριστικό</w:t>
            </w:r>
          </w:p>
        </w:tc>
        <w:tc>
          <w:tcPr>
            <w:tcW w:type="dxa" w:w="2304"/>
            <w:shd w:val="clear" w:color="auto" w:fill="1A3A5C"/>
          </w:tcPr>
          <w:p>
            <w:r/>
            <w:r>
              <w:rPr>
                <w:b/>
                <w:color w:val="FFFFFF"/>
                <w:sz w:val="17"/>
              </w:rPr>
              <w:t>Παράρτημα / διάταξη</w:t>
            </w:r>
          </w:p>
        </w:tc>
        <w:tc>
          <w:tcPr>
            <w:tcW w:type="dxa" w:w="1152"/>
            <w:shd w:val="clear" w:color="auto" w:fill="1A3A5C"/>
          </w:tcPr>
          <w:p>
            <w:r/>
            <w:r>
              <w:rPr>
                <w:b/>
                <w:color w:val="FFFFFF"/>
                <w:sz w:val="17"/>
              </w:rPr>
              <w:t>Βαθμοί</w:t>
            </w:r>
          </w:p>
        </w:tc>
      </w:tr>
      <w:tr>
        <w:tc>
          <w:tcPr>
            <w:tcW w:type="dxa" w:w="6048"/>
          </w:tcPr>
          <w:p>
            <w:r/>
            <w:r>
              <w:rPr>
                <w:sz w:val="17"/>
              </w:rPr>
              <w:t>Φυσική παρουσία και τραπεζικές συναλλαγές</w:t>
            </w:r>
          </w:p>
        </w:tc>
        <w:tc>
          <w:tcPr>
            <w:tcW w:type="dxa" w:w="2304"/>
          </w:tcPr>
          <w:p>
            <w:r/>
            <w:r>
              <w:rPr>
                <w:sz w:val="17"/>
              </w:rPr>
              <w:t>βάση</w:t>
            </w:r>
          </w:p>
        </w:tc>
        <w:tc>
          <w:tcPr>
            <w:tcW w:type="dxa" w:w="1152"/>
          </w:tcPr>
          <w:p>
            <w:r/>
            <w:r>
              <w:rPr>
                <w:sz w:val="17"/>
              </w:rPr>
              <w:t>0</w:t>
            </w:r>
          </w:p>
        </w:tc>
      </w:tr>
      <w:tr>
        <w:tc>
          <w:tcPr>
            <w:tcW w:type="dxa" w:w="6048"/>
          </w:tcPr>
          <w:p>
            <w:r/>
            <w:r>
              <w:rPr>
                <w:sz w:val="17"/>
              </w:rPr>
              <w:t>Σχέση εξ αποστάσεως με αναγνωρισμένο μέσο ηλεκτρονικής ταυτοποίησης ή άλλη ασφαλή διαδικασία</w:t>
            </w:r>
          </w:p>
        </w:tc>
        <w:tc>
          <w:tcPr>
            <w:tcW w:type="dxa" w:w="2304"/>
          </w:tcPr>
          <w:p>
            <w:r/>
            <w:r>
              <w:rPr>
                <w:sz w:val="17"/>
              </w:rPr>
              <w:t>ΙΙ-2γ, εξουδετερωμένο</w:t>
            </w:r>
          </w:p>
        </w:tc>
        <w:tc>
          <w:tcPr>
            <w:tcW w:type="dxa" w:w="1152"/>
          </w:tcPr>
          <w:p>
            <w:r/>
            <w:r>
              <w:rPr>
                <w:sz w:val="17"/>
              </w:rPr>
              <w:t>0</w:t>
            </w:r>
          </w:p>
        </w:tc>
      </w:tr>
      <w:tr>
        <w:tc>
          <w:tcPr>
            <w:tcW w:type="dxa" w:w="6048"/>
          </w:tcPr>
          <w:p>
            <w:r/>
            <w:r>
              <w:rPr>
                <w:sz w:val="17"/>
              </w:rPr>
              <w:t>Ο πελάτης ενεργεί μέσω εξουσιοδοτημένου προσώπου ή πληρεξουσίου</w:t>
            </w:r>
          </w:p>
        </w:tc>
        <w:tc>
          <w:tcPr>
            <w:tcW w:type="dxa" w:w="2304"/>
          </w:tcPr>
          <w:p>
            <w:r/>
            <w:r>
              <w:rPr>
                <w:sz w:val="17"/>
              </w:rPr>
              <w:t>επιλογή μοντέλου</w:t>
            </w:r>
          </w:p>
        </w:tc>
        <w:tc>
          <w:tcPr>
            <w:tcW w:type="dxa" w:w="1152"/>
          </w:tcPr>
          <w:p>
            <w:r/>
            <w:r>
              <w:rPr>
                <w:sz w:val="17"/>
              </w:rPr>
              <w:t>5</w:t>
            </w:r>
          </w:p>
        </w:tc>
      </w:tr>
      <w:tr>
        <w:tc>
          <w:tcPr>
            <w:tcW w:type="dxa" w:w="6048"/>
          </w:tcPr>
          <w:p>
            <w:r/>
            <w:r>
              <w:rPr>
                <w:sz w:val="17"/>
              </w:rPr>
              <w:t>Σχέση εξ αποστάσεως χωρίς τις διασφαλίσεις του Κανονισμού (ΕΕ) 910/2014 ή ισοδύναμες</w:t>
            </w:r>
          </w:p>
        </w:tc>
        <w:tc>
          <w:tcPr>
            <w:tcW w:type="dxa" w:w="2304"/>
          </w:tcPr>
          <w:p>
            <w:r/>
            <w:r>
              <w:rPr>
                <w:sz w:val="17"/>
              </w:rPr>
              <w:t>ΙΙ-2γ</w:t>
            </w:r>
          </w:p>
        </w:tc>
        <w:tc>
          <w:tcPr>
            <w:tcW w:type="dxa" w:w="1152"/>
          </w:tcPr>
          <w:p>
            <w:r/>
            <w:r>
              <w:rPr>
                <w:sz w:val="17"/>
              </w:rPr>
              <w:t>15</w:t>
            </w:r>
          </w:p>
        </w:tc>
      </w:tr>
      <w:tr>
        <w:tc>
          <w:tcPr>
            <w:tcW w:type="dxa" w:w="6048"/>
          </w:tcPr>
          <w:p>
            <w:r/>
            <w:r>
              <w:rPr>
                <w:sz w:val="17"/>
              </w:rPr>
              <w:t>Πληρωμές από τρίτους με τους οποίους δεν προκύπτει η ύπαρξη οποιασδήποτε σχέσης</w:t>
            </w:r>
          </w:p>
        </w:tc>
        <w:tc>
          <w:tcPr>
            <w:tcW w:type="dxa" w:w="2304"/>
          </w:tcPr>
          <w:p>
            <w:r/>
            <w:r>
              <w:rPr>
                <w:sz w:val="17"/>
              </w:rPr>
              <w:t>ΙΙ-2δ</w:t>
            </w:r>
          </w:p>
        </w:tc>
        <w:tc>
          <w:tcPr>
            <w:tcW w:type="dxa" w:w="1152"/>
          </w:tcPr>
          <w:p>
            <w:r/>
            <w:r>
              <w:rPr>
                <w:sz w:val="17"/>
              </w:rPr>
              <w:t>20</w:t>
            </w:r>
          </w:p>
        </w:tc>
      </w:tr>
      <w:tr>
        <w:tc>
          <w:tcPr>
            <w:tcW w:type="dxa" w:w="6048"/>
          </w:tcPr>
          <w:p>
            <w:r/>
            <w:r>
              <w:rPr>
                <w:sz w:val="17"/>
              </w:rPr>
              <w:t>Συναλλαγές πολύπλοκες, ασυνήθιστα μεγάλες, ασυνήθιστης πρακτικής ή χωρίς προφανή οικονομικό ή νόμιμο σκοπό</w:t>
            </w:r>
          </w:p>
        </w:tc>
        <w:tc>
          <w:tcPr>
            <w:tcW w:type="dxa" w:w="2304"/>
          </w:tcPr>
          <w:p>
            <w:r>
              <w:t>παρ. 3 άρθρου 16 - ισχύουν πάντοτε οι υποχρεώσεις εξέτασης και παρακολούθησης</w:t>
            </w:r>
            <w:r>
              <w:rPr>
                <w:sz w:val="17"/>
              </w:rPr>
            </w:r>
          </w:p>
        </w:tc>
        <w:tc>
          <w:tcPr>
            <w:tcW w:type="dxa" w:w="1152"/>
          </w:tcPr>
          <w:p>
            <w:r>
              <w:t>20</w:t>
            </w:r>
            <w:r>
              <w:rPr>
                <w:sz w:val="17"/>
              </w:rPr>
            </w:r>
          </w:p>
        </w:tc>
      </w:tr>
    </w:tbl>
    <w:p>
      <w:pPr>
        <w:spacing w:after="40"/>
      </w:pPr>
    </w:p>
    <w:p>
      <w:pPr>
        <w:spacing w:before="180" w:after="80"/>
      </w:pPr>
      <w:r>
        <w:rPr>
          <w:b/>
          <w:i w:val="0"/>
          <w:color w:val="1A3A5C"/>
          <w:sz w:val="20"/>
        </w:rPr>
        <w:t>Η κλίμακα κατάταξης</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3744"/>
        <w:gridCol w:w="1440"/>
        <w:gridCol w:w="2160"/>
        <w:gridCol w:w="2160"/>
      </w:tblGrid>
      <w:tr>
        <w:tc>
          <w:tcPr>
            <w:tcW w:type="dxa" w:w="3744"/>
            <w:shd w:val="clear" w:color="auto" w:fill="1A3A5C"/>
          </w:tcPr>
          <w:p>
            <w:r/>
            <w:r>
              <w:rPr>
                <w:b/>
                <w:color w:val="FFFFFF"/>
                <w:sz w:val="17"/>
              </w:rPr>
              <w:t>Σύνολο 0 έως 100</w:t>
            </w:r>
          </w:p>
        </w:tc>
        <w:tc>
          <w:tcPr>
            <w:tcW w:type="dxa" w:w="1440"/>
            <w:shd w:val="clear" w:color="auto" w:fill="1A3A5C"/>
          </w:tcPr>
          <w:p>
            <w:r/>
            <w:r>
              <w:rPr>
                <w:b/>
                <w:color w:val="FFFFFF"/>
                <w:sz w:val="17"/>
              </w:rPr>
              <w:t>Κατηγορία</w:t>
            </w:r>
          </w:p>
        </w:tc>
        <w:tc>
          <w:tcPr>
            <w:tcW w:type="dxa" w:w="2160"/>
            <w:shd w:val="clear" w:color="auto" w:fill="1A3A5C"/>
          </w:tcPr>
          <w:p>
            <w:r/>
            <w:r>
              <w:rPr>
                <w:b/>
                <w:color w:val="FFFFFF"/>
                <w:sz w:val="17"/>
              </w:rPr>
              <w:t>Δέουσα επιμέλεια</w:t>
            </w:r>
          </w:p>
        </w:tc>
        <w:tc>
          <w:tcPr>
            <w:tcW w:type="dxa" w:w="2160"/>
            <w:shd w:val="clear" w:color="auto" w:fill="1A3A5C"/>
          </w:tcPr>
          <w:p>
            <w:r/>
            <w:r>
              <w:rPr>
                <w:b/>
                <w:color w:val="FFFFFF"/>
                <w:sz w:val="17"/>
              </w:rPr>
              <w:t>Επικαιροποίηση (επιλογή του γραφείου)</w:t>
            </w:r>
          </w:p>
        </w:tc>
      </w:tr>
      <w:tr>
        <w:tc>
          <w:tcPr>
            <w:tcW w:type="dxa" w:w="3744"/>
          </w:tcPr>
          <w:p>
            <w:r/>
            <w:r>
              <w:rPr>
                <w:sz w:val="17"/>
              </w:rPr>
              <w:t>0 έως 15, με τουλάχιστον έναν τεκμηριωμένο παράγοντα του Παραρτήματος Ι και κανέναν του Παραρτήματος ΙΙ</w:t>
            </w:r>
          </w:p>
        </w:tc>
        <w:tc>
          <w:tcPr>
            <w:tcW w:type="dxa" w:w="1440"/>
          </w:tcPr>
          <w:p>
            <w:r/>
            <w:r>
              <w:rPr>
                <w:sz w:val="17"/>
              </w:rPr>
              <w:t>ΧΑΜΗΛΟΣ</w:t>
            </w:r>
          </w:p>
        </w:tc>
        <w:tc>
          <w:tcPr>
            <w:tcW w:type="dxa" w:w="2160"/>
          </w:tcPr>
          <w:p>
            <w:r/>
            <w:r>
              <w:rPr>
                <w:sz w:val="17"/>
              </w:rPr>
              <w:t>Απλουστευμένη (άρθρο 15)</w:t>
            </w:r>
          </w:p>
        </w:tc>
        <w:tc>
          <w:tcPr>
            <w:tcW w:type="dxa" w:w="2160"/>
            <w:shd w:val="clear" w:color="auto" w:fill="FFF9E6"/>
          </w:tcPr>
          <w:p>
            <w:r/>
            <w:r>
              <w:rPr>
                <w:sz w:val="17"/>
              </w:rPr>
              <w:t>Τουλάχιστον ανά διετία</w:t>
            </w:r>
          </w:p>
        </w:tc>
      </w:tr>
      <w:tr>
        <w:tc>
          <w:tcPr>
            <w:tcW w:type="dxa" w:w="3744"/>
          </w:tcPr>
          <w:p>
            <w:r/>
            <w:r>
              <w:rPr>
                <w:sz w:val="17"/>
              </w:rPr>
              <w:t>16 έως 45, ή 0 έως 15 χωρίς παράγοντα του Παραρτήματος Ι ή με παράγοντα του Παραρτήματος ΙΙ</w:t>
            </w:r>
          </w:p>
        </w:tc>
        <w:tc>
          <w:tcPr>
            <w:tcW w:type="dxa" w:w="1440"/>
          </w:tcPr>
          <w:p>
            <w:r/>
            <w:r>
              <w:rPr>
                <w:sz w:val="17"/>
              </w:rPr>
              <w:t>ΜΕΤΡΙΟΣ</w:t>
            </w:r>
          </w:p>
        </w:tc>
        <w:tc>
          <w:tcPr>
            <w:tcW w:type="dxa" w:w="2160"/>
          </w:tcPr>
          <w:p>
            <w:r/>
            <w:r>
              <w:rPr>
                <w:sz w:val="17"/>
              </w:rPr>
              <w:t>Συνήθης (άρθρο 13)</w:t>
            </w:r>
          </w:p>
        </w:tc>
        <w:tc>
          <w:tcPr>
            <w:tcW w:type="dxa" w:w="2160"/>
            <w:shd w:val="clear" w:color="auto" w:fill="FFF9E6"/>
          </w:tcPr>
          <w:p>
            <w:r/>
            <w:r>
              <w:rPr>
                <w:sz w:val="17"/>
              </w:rPr>
              <w:t>Τουλάχιστον ετησίως</w:t>
            </w:r>
          </w:p>
        </w:tc>
      </w:tr>
      <w:tr>
        <w:tc>
          <w:tcPr>
            <w:tcW w:type="dxa" w:w="3744"/>
          </w:tcPr>
          <w:p>
            <w:r/>
            <w:r>
              <w:rPr>
                <w:sz w:val="17"/>
              </w:rPr>
              <w:t>46 έως 100, ή έστω μία περίπτωση που υπερισχύει</w:t>
            </w:r>
          </w:p>
        </w:tc>
        <w:tc>
          <w:tcPr>
            <w:tcW w:type="dxa" w:w="1440"/>
          </w:tcPr>
          <w:p>
            <w:r/>
            <w:r>
              <w:rPr>
                <w:sz w:val="17"/>
              </w:rPr>
              <w:t>ΥΨΗΛΟΣ</w:t>
            </w:r>
          </w:p>
        </w:tc>
        <w:tc>
          <w:tcPr>
            <w:tcW w:type="dxa" w:w="2160"/>
          </w:tcPr>
          <w:p>
            <w:r/>
            <w:r>
              <w:rPr>
                <w:sz w:val="17"/>
              </w:rPr>
              <w:t>Αυξημένη (άρθρα 16, 16Α, 18)</w:t>
            </w:r>
          </w:p>
        </w:tc>
        <w:tc>
          <w:tcPr>
            <w:tcW w:type="dxa" w:w="2160"/>
            <w:shd w:val="clear" w:color="auto" w:fill="FFF9E6"/>
          </w:tcPr>
          <w:p>
            <w:r/>
            <w:r>
              <w:rPr>
                <w:sz w:val="17"/>
              </w:rPr>
              <w:t>Τουλάχιστον ετησίως και σε κάθε μεταβολή</w:t>
            </w:r>
          </w:p>
        </w:tc>
      </w:tr>
    </w:tbl>
    <w:p>
      <w:pPr>
        <w:spacing w:after="40"/>
      </w:pPr>
    </w:p>
    <w:p>
      <w:pPr>
        <w:spacing w:before="40" w:after="120"/>
      </w:pPr>
      <w:r>
        <w:rPr>
          <w:b w:val="0"/>
          <w:i/>
          <w:color w:val="555555"/>
          <w:sz w:val="17"/>
        </w:rPr>
        <w:t>Διαφορά από το Μοντέλο Α. Στην κλίμακα 0 έως 100 οι παράγοντες του Παραρτήματος Ι δεν αφαιρούν βαθμούς, κρατούν τον άξονα στο μηδέν. Το πλεονέκτημα είναι ότι το σύνολο διαβάζεται ως ποσοστό και επιτρέπει διαβάθμιση μέσα στην ίδια κατηγορία, ώστε ένας υψηλός με 50 και ένας με 90 να παρακολουθούνται με διαφορετική ένταση. Οι τέσσερις πελάτες των παραδειγμάτων του οδηγού κατατάσσονται στην ίδια κατηγορία και με τα δύο μοντέλα. Ο μισθωτός του παραδείγματος 1 παίρνει 5 (χαμηλός), η Ι.Κ.Ε. εστίασης του παραδείγματος 2 παίρνει 20 (μέτριος, λόγω του παράγοντα ΙΙ-1ε), η Α.Ε. με αλλοδαπή μητρική του παραδείγματος 3 παίρνει 60 (υψηλός) και η πελάτισσα του παραδείγματος 4 κατατάσσεται σε υψηλό επειδή υπερισχύει το άρθρο 18.</w:t>
      </w:r>
    </w:p>
    <w:p>
      <w:pPr>
        <w:spacing w:before="180" w:after="80"/>
      </w:pPr>
      <w:r>
        <w:rPr>
          <w:b/>
          <w:i w:val="0"/>
          <w:color w:val="1A3A5C"/>
          <w:sz w:val="20"/>
        </w:rPr>
        <w:t>Οι περιπτώσεις που υπερισχύουν</w:t>
      </w:r>
    </w:p>
    <w:p>
      <w:pPr>
        <w:spacing w:before="0" w:after="80"/>
      </w:pPr>
      <w:r>
        <w:rPr>
          <w:b w:val="0"/>
          <w:i w:val="0"/>
          <w:sz w:val="19"/>
        </w:rPr>
        <w:t>Μία και μόνη περίπτωση που υπερισχύει οδηγεί σε υψηλό κίνδυνο ανεξαρτήτως του αθροίσματος. Δύο απορρέουν ευθέως από τον νόμο, το πολιτικώς εκτεθειμένο πρόσωπο (παρ. 1 του άρθρου 18) και η τρίτη χώρα του καταλόγου της Ευρωπαϊκής Επιτροπής (παρ. 1 του άρθρου 16 και άρθρο 16Α). Μία έχει αυτοτελές έρεισμα βαρύτερο από τη δέουσα επιμέλεια, η χώρα υπό κυρώσεις Ε.Ε. ή Ο.Η.Ε., καθόσον η παραβίαση περιοριστικών μέτρων αποτελεί βασικό αδίκημα (περ. κβ΄ του άρθρου 4). Μία είναι επιλογή του γραφείου, η χώρα που υποστηρίζει τρομοκρατικές δραστηριότητες (Παράρτημα ΙΙ-3δ), για την οποία ακολουθείται και η θέση του ενημερωτικού υλικού της ΑΑΔΕ. Οι συναλλαγές της παρ. 3 του άρθρου 16 δεν υπερισχύουν. Βαθμολογούνται με τον βαρύτερο βαθμό του άξονα Δ και, ανεξαρτήτως κατάταξης, εξετάζονται ως προς το ιστορικό και τον σκοπό τους με γραπτή τεκμηρίωση και παρακολουθούνται εντατικότερα, όπως επιβάλλει η παρ. 3 του άρθρου 16.</w:t>
      </w:r>
    </w:p>
    <w:p>
      <w:pPr>
        <w:spacing w:before="180" w:after="80"/>
      </w:pPr>
      <w:r>
        <w:rPr>
          <w:b/>
          <w:i w:val="0"/>
          <w:color w:val="1A3A5C"/>
          <w:sz w:val="20"/>
        </w:rPr>
        <w:t>Ο πρακτικός κανόνας</w:t>
      </w:r>
    </w:p>
    <w:p>
      <w:pPr>
        <w:spacing w:before="0" w:after="80"/>
      </w:pPr>
      <w:r>
        <w:rPr>
          <w:b w:val="0"/>
          <w:i w:val="0"/>
          <w:sz w:val="19"/>
        </w:rPr>
        <w:t>Κάθε πελάτης ξεκινά από συνήθη δέουσα επιμέλεια. Κατεβαίνει σε απλουστευμένη μόνο αν τεκμηριώνονται παράγοντες του Παραρτήματος Ι και δεν συντρέχει κανένας του Παραρτήματος ΙΙ. Ανεβαίνει σε αυξημένη κατά τεκμήριο αν συντρέχει έστω και ένας παράγοντας του Παραρτήματος ΙΙ, εκτός αν αιτιολογείται εγγράφως στο φύλλο του πελάτη γιατί, στη συγκεκριμένη περίπτωση, ο παράγοντας δεν ανεβάζει τον κίνδυνο. Στις περιπτώσεις που υπερισχύουν δεν υπάρχει τεκμήριο και ο πελάτης κατατάσσεται πάντοτε σε υψηλό κίνδυνο.</w:t>
      </w:r>
    </w:p>
    <w:p>
      <w:pPr>
        <w:spacing w:before="260" w:after="120"/>
      </w:pPr>
      <w:r>
        <w:rPr>
          <w:b/>
          <w:i w:val="0"/>
          <w:color w:val="1A3A5C"/>
          <w:sz w:val="22"/>
        </w:rPr>
        <w:t>4. ΔΙΑΔΙΚΑΣΙΑ ΚΑΙ ΤΕΚΜΗΡΙΩΣΗ</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2448"/>
        <w:gridCol w:w="7200"/>
      </w:tblGrid>
      <w:tr>
        <w:tc>
          <w:tcPr>
            <w:tcW w:type="dxa" w:w="2448"/>
            <w:shd w:val="clear" w:color="auto" w:fill="1A3A5C"/>
          </w:tcPr>
          <w:p>
            <w:r/>
            <w:r>
              <w:rPr>
                <w:b/>
                <w:color w:val="FFFFFF"/>
                <w:sz w:val="17"/>
              </w:rPr>
              <w:t>Θέμα</w:t>
            </w:r>
          </w:p>
        </w:tc>
        <w:tc>
          <w:tcPr>
            <w:tcW w:type="dxa" w:w="7200"/>
            <w:shd w:val="clear" w:color="auto" w:fill="1A3A5C"/>
          </w:tcPr>
          <w:p>
            <w:r/>
            <w:r>
              <w:rPr>
                <w:b/>
                <w:color w:val="FFFFFF"/>
                <w:sz w:val="17"/>
              </w:rPr>
              <w:t>Τι εφαρμόζει το γραφείο</w:t>
            </w:r>
          </w:p>
        </w:tc>
      </w:tr>
      <w:tr>
        <w:tc>
          <w:tcPr>
            <w:tcW w:type="dxa" w:w="2448"/>
          </w:tcPr>
          <w:p>
            <w:r/>
            <w:r>
              <w:rPr>
                <w:sz w:val="17"/>
              </w:rPr>
              <w:t>Ποιος βαθμολογεί</w:t>
            </w:r>
          </w:p>
        </w:tc>
        <w:tc>
          <w:tcPr>
            <w:tcW w:type="dxa" w:w="7200"/>
            <w:shd w:val="clear" w:color="auto" w:fill="FFF9E6"/>
          </w:tcPr>
          <w:p>
            <w:r/>
            <w:r>
              <w:rPr>
                <w:sz w:val="17"/>
              </w:rPr>
              <w:t>Ο υπεύθυνος συμμόρφωσης, ή ο χειριστής του πελάτη με έγκριση του υπευθύνου συμμόρφωσης. Το φύλλο υπογράφεται από τον υπεύθυνο συμμόρφωσης.</w:t>
            </w:r>
          </w:p>
        </w:tc>
      </w:tr>
      <w:tr>
        <w:tc>
          <w:tcPr>
            <w:tcW w:type="dxa" w:w="2448"/>
          </w:tcPr>
          <w:p>
            <w:r/>
            <w:r>
              <w:rPr>
                <w:sz w:val="17"/>
              </w:rPr>
              <w:t>Πότε</w:t>
            </w:r>
          </w:p>
        </w:tc>
        <w:tc>
          <w:tcPr>
            <w:tcW w:type="dxa" w:w="7200"/>
            <w:shd w:val="clear" w:color="auto" w:fill="FFF9E6"/>
          </w:tcPr>
          <w:p>
            <w:r/>
            <w:r>
              <w:rPr>
                <w:sz w:val="17"/>
              </w:rPr>
              <w:t>Πριν από τη σύναψη κάθε νέας επιχειρηματικής σχέσης (παρ. 1 του άρθρου 14). Για τους υφιστάμενους πελάτες, με τη σειρά προτεραιότητας που προέκυψε από την απογραφή του πελατολογίου.</w:t>
            </w:r>
          </w:p>
        </w:tc>
      </w:tr>
      <w:tr>
        <w:tc>
          <w:tcPr>
            <w:tcW w:type="dxa" w:w="2448"/>
          </w:tcPr>
          <w:p>
            <w:r/>
            <w:r>
              <w:rPr>
                <w:sz w:val="17"/>
              </w:rPr>
              <w:t>Σε ποιο έντυπο</w:t>
            </w:r>
          </w:p>
        </w:tc>
        <w:tc>
          <w:tcPr>
            <w:tcW w:type="dxa" w:w="7200"/>
            <w:shd w:val="clear" w:color="auto" w:fill="FFF9E6"/>
          </w:tcPr>
          <w:p>
            <w:r/>
            <w:r>
              <w:rPr>
                <w:sz w:val="17"/>
              </w:rPr>
              <w:t>Στο φύλλο ανάλυσης κινδύνου πελάτη, ένα ανά πελάτη, στον ατομικό του φάκελο. Το φύλλο αναφέρει τους παράγοντες που συνέτρεξαν με τον κωδικό του Παραρτήματος, τους βαθμούς ανά άξονα, τις περιπτώσεις που υπερισχύουν, το σύνολο, την κατηγορία, τα μέτρα, την ημερομηνία και την υπογραφή.</w:t>
            </w:r>
          </w:p>
        </w:tc>
      </w:tr>
      <w:tr>
        <w:tc>
          <w:tcPr>
            <w:tcW w:type="dxa" w:w="2448"/>
          </w:tcPr>
          <w:p>
            <w:r/>
            <w:r>
              <w:rPr>
                <w:sz w:val="17"/>
              </w:rPr>
              <w:t>Αιτιολόγηση αποκλίσεων</w:t>
            </w:r>
          </w:p>
        </w:tc>
        <w:tc>
          <w:tcPr>
            <w:tcW w:type="dxa" w:w="7200"/>
            <w:shd w:val="clear" w:color="auto" w:fill="FFF9E6"/>
          </w:tcPr>
          <w:p>
            <w:r/>
            <w:r>
              <w:rPr>
                <w:sz w:val="17"/>
              </w:rPr>
              <w:t>Όταν συντρέχει παράγοντας του Παραρτήματος ΙΙ και ο πελάτης παραμένει σε μέτριο κίνδυνο, ή όταν κατατάσσεται σε χαμηλό, η αιτιολογία γράφεται στο φύλλο, με τα συγκεκριμένα στοιχεία που τη στηρίζουν.</w:t>
            </w:r>
          </w:p>
        </w:tc>
      </w:tr>
      <w:tr>
        <w:tc>
          <w:tcPr>
            <w:tcW w:type="dxa" w:w="2448"/>
          </w:tcPr>
          <w:p>
            <w:r/>
            <w:r>
              <w:rPr>
                <w:sz w:val="17"/>
              </w:rPr>
              <w:t>Έγκριση</w:t>
            </w:r>
          </w:p>
        </w:tc>
        <w:tc>
          <w:tcPr>
            <w:tcW w:type="dxa" w:w="7200"/>
            <w:shd w:val="clear" w:color="auto" w:fill="FFF9E6"/>
          </w:tcPr>
          <w:p>
            <w:r/>
            <w:r>
              <w:rPr>
                <w:sz w:val="17"/>
              </w:rPr>
              <w:t>Για κάθε πελάτη υψηλού κινδύνου και για κάθε πολιτικώς εκτεθειμένο πρόσωπο, γραπτή και χρονολογημένη έγκριση ανώτερου διοικητικού στελέχους για την έναρξη ή τη συνέχιση της σχέσης. Σε ατομικό γραφείο, γραπτή απόφαση του ίδιου του υπευθύνου συμμόρφωσης με αιτιολογία.</w:t>
            </w:r>
          </w:p>
        </w:tc>
      </w:tr>
      <w:tr>
        <w:tc>
          <w:tcPr>
            <w:tcW w:type="dxa" w:w="2448"/>
          </w:tcPr>
          <w:p>
            <w:r/>
            <w:r>
              <w:rPr>
                <w:sz w:val="17"/>
              </w:rPr>
              <w:t>Συγκεντρωτική κατάσταση</w:t>
            </w:r>
          </w:p>
        </w:tc>
        <w:tc>
          <w:tcPr>
            <w:tcW w:type="dxa" w:w="7200"/>
            <w:shd w:val="clear" w:color="auto" w:fill="FFF9E6"/>
          </w:tcPr>
          <w:p>
            <w:r/>
            <w:r>
              <w:rPr>
                <w:sz w:val="17"/>
              </w:rPr>
              <w:t>Το αποτέλεσμα κάθε φύλλου μεταφέρεται στη συγκεντρωτική κατάσταση κατάταξης πελατών, η οποία τηρεί αριθμό έκδοσης και ημερομηνία, επικαιροποιείται με κάθε νέο πελάτη και κάθε επανεξέταση, και τίθεται στη διάθεση της αρμόδιας αρχής όταν ζητηθεί (παρ. 2 του άρθρου 35).</w:t>
            </w:r>
          </w:p>
        </w:tc>
      </w:tr>
      <w:tr>
        <w:tc>
          <w:tcPr>
            <w:tcW w:type="dxa" w:w="2448"/>
          </w:tcPr>
          <w:p>
            <w:r/>
            <w:r>
              <w:rPr>
                <w:sz w:val="17"/>
              </w:rPr>
              <w:t>Τακτική επανεξέταση</w:t>
            </w:r>
          </w:p>
        </w:tc>
        <w:tc>
          <w:tcPr>
            <w:tcW w:type="dxa" w:w="7200"/>
            <w:shd w:val="clear" w:color="auto" w:fill="FFF9E6"/>
          </w:tcPr>
          <w:p>
            <w:r/>
            <w:r>
              <w:rPr>
                <w:sz w:val="17"/>
              </w:rPr>
              <w:t>Χαμηλός κίνδυνος τουλάχιστον ανά διετία, μέτριος τουλάχιστον ετησίως, υψηλός τουλάχιστον ετησίως και σε κάθε μεταβολή. Τα διαστήματα είναι επιλογή του γραφείου, ο νόμος δεν ορίζει διάστημα. Η ημερομηνία επόμενης επανεξέτασης γράφεται στο φύλλο και στη συγκεντρωτική κατάσταση.</w:t>
            </w:r>
          </w:p>
        </w:tc>
      </w:tr>
      <w:tr>
        <w:tc>
          <w:tcPr>
            <w:tcW w:type="dxa" w:w="2448"/>
          </w:tcPr>
          <w:p>
            <w:r/>
            <w:r>
              <w:rPr>
                <w:sz w:val="17"/>
              </w:rPr>
              <w:t>Έκτακτη επανεξέταση</w:t>
            </w:r>
          </w:p>
        </w:tc>
        <w:tc>
          <w:tcPr>
            <w:tcW w:type="dxa" w:w="7200"/>
            <w:shd w:val="clear" w:color="auto" w:fill="FFF9E6"/>
          </w:tcPr>
          <w:p>
            <w:r/>
            <w:r>
              <w:rPr>
                <w:sz w:val="17"/>
              </w:rPr>
              <w:t>Όταν μεταβάλλονται οι περιστάσεις του πελάτη (παρ. 7 του άρθρου 13), όταν προκύπτουν αμφιβολίες για τα στοιχεία (περ. στ΄ της παρ. 1 του άρθρου 12), όταν υπάρχει υπόνοια ανεξαρτήτως ποσού (περ. ε΄ της παρ. 1 του άρθρου 12), όταν μεταβάλλεται ο πραγματικός δικαιούχος (άρθρο 20), όταν ο πελάτης ή ο πραγματικός δικαιούχος γίνεται ή παύει να είναι ΠΕΠ (άρθρο 18), και όταν εμφανίζεται συναλλαγή της παρ. 3 του άρθρου 16.</w:t>
            </w:r>
          </w:p>
        </w:tc>
      </w:tr>
      <w:tr>
        <w:tc>
          <w:tcPr>
            <w:tcW w:type="dxa" w:w="2448"/>
          </w:tcPr>
          <w:p>
            <w:r/>
            <w:r>
              <w:rPr>
                <w:sz w:val="17"/>
              </w:rPr>
              <w:t>Πηγές που ελέγχονται</w:t>
            </w:r>
          </w:p>
        </w:tc>
        <w:tc>
          <w:tcPr>
            <w:tcW w:type="dxa" w:w="7200"/>
            <w:shd w:val="clear" w:color="auto" w:fill="FFF9E6"/>
          </w:tcPr>
          <w:p>
            <w:r/>
            <w:r>
              <w:rPr>
                <w:sz w:val="17"/>
              </w:rPr>
              <w:t>Κατάλογος τρίτων χωρών υψηλού κινδύνου της Ευρωπαϊκής Επιτροπής, κατάλογοι FATF, κατάλογοι κυρώσεων Ε.Ε. και Ο.Η.Ε., Κ.Μ.Π.Δ., Γ.Ε.ΜΗ., δημόσια προσβάσιμες πηγές για ΠΕΠ. Η ημερομηνία κάθε ελέγχου σημειώνεται στο φύλλο του πελάτη.</w:t>
            </w:r>
          </w:p>
        </w:tc>
      </w:tr>
      <w:tr>
        <w:tc>
          <w:tcPr>
            <w:tcW w:type="dxa" w:w="2448"/>
          </w:tcPr>
          <w:p>
            <w:r/>
            <w:r>
              <w:rPr>
                <w:sz w:val="17"/>
              </w:rPr>
              <w:t>Φύλαξη</w:t>
            </w:r>
          </w:p>
        </w:tc>
        <w:tc>
          <w:tcPr>
            <w:tcW w:type="dxa" w:w="7200"/>
            <w:shd w:val="clear" w:color="auto" w:fill="FFF9E6"/>
          </w:tcPr>
          <w:p>
            <w:r/>
            <w:r>
              <w:rPr>
                <w:sz w:val="17"/>
              </w:rPr>
              <w:t>Τα φύλλα, οι εγκρίσεις και οι εκδόσεις της συγκεντρωτικής κατάστασης φυλάσσονται πέντε έτη μετά τη λήξη της σχέσης (παρ. 3 του άρθρου 30).</w:t>
            </w:r>
          </w:p>
        </w:tc>
      </w:tr>
    </w:tbl>
    <w:p>
      <w:pPr>
        <w:spacing w:after="40"/>
      </w:pPr>
    </w:p>
    <w:p>
      <w:pPr>
        <w:spacing w:before="40" w:after="120"/>
      </w:pPr>
      <w:r>
        <w:rPr>
          <w:b w:val="0"/>
          <w:i/>
          <w:color w:val="555555"/>
          <w:sz w:val="17"/>
        </w:rPr>
        <w:t>Η δεξιά στήλη είναι έτοιμο κείμενο. Προσαρμόστε την όπου το γραφείο σας ακολουθεί διαφορετική πρακτική, ιδίως στα διαστήματα επανεξέτασης και στο ποιος εγκρίνει.</w:t>
      </w:r>
    </w:p>
    <w:p>
      <w:pPr>
        <w:spacing w:before="260" w:after="120"/>
      </w:pPr>
      <w:r>
        <w:rPr>
          <w:b/>
          <w:i w:val="0"/>
          <w:color w:val="1A3A5C"/>
          <w:sz w:val="22"/>
        </w:rPr>
        <w:t>5. ΕΚΔΟΣΕΙΣ ΚΑΙ ΕΓΚΡΙΣΗ</w:t>
      </w:r>
    </w:p>
    <w:p>
      <w:pPr>
        <w:spacing w:before="0" w:after="80"/>
      </w:pPr>
      <w:r>
        <w:rPr>
          <w:b w:val="0"/>
          <w:i w:val="0"/>
          <w:sz w:val="19"/>
        </w:rPr>
        <w:t>Το παρόν εγκρίνεται από τα ανώτερα διοικητικά στελέχη, τα οποία παρακολουθούν και, όπου ενδείκνυται, ενισχύουν τα μέτρα (παρ. 4 του άρθρου 35). Επανεξετάζεται τουλάχιστον ετησίως και σε κάθε ουσιώδη μεταβολή του προφίλ του γραφείου ή της νομοθεσίας. Η συγκεντρωτική κατάσταση κατάταξης πελατών επικαιροποιείται με τον δικό της ρυθμό και τηρεί δικό της ιστορικό εκδόσεων.</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1008"/>
        <w:gridCol w:w="1440"/>
        <w:gridCol w:w="4032"/>
        <w:gridCol w:w="2016"/>
        <w:gridCol w:w="1296"/>
      </w:tblGrid>
      <w:tr>
        <w:tc>
          <w:tcPr>
            <w:tcW w:type="dxa" w:w="1008"/>
            <w:shd w:val="clear" w:color="auto" w:fill="1A3A5C"/>
          </w:tcPr>
          <w:p>
            <w:r/>
            <w:r>
              <w:rPr>
                <w:b/>
                <w:color w:val="FFFFFF"/>
                <w:sz w:val="17"/>
              </w:rPr>
              <w:t>Έκδοση</w:t>
            </w:r>
          </w:p>
        </w:tc>
        <w:tc>
          <w:tcPr>
            <w:tcW w:type="dxa" w:w="1440"/>
            <w:shd w:val="clear" w:color="auto" w:fill="1A3A5C"/>
          </w:tcPr>
          <w:p>
            <w:r/>
            <w:r>
              <w:rPr>
                <w:b/>
                <w:color w:val="FFFFFF"/>
                <w:sz w:val="17"/>
              </w:rPr>
              <w:t>Ημερομηνία</w:t>
            </w:r>
          </w:p>
        </w:tc>
        <w:tc>
          <w:tcPr>
            <w:tcW w:type="dxa" w:w="4032"/>
            <w:shd w:val="clear" w:color="auto" w:fill="1A3A5C"/>
          </w:tcPr>
          <w:p>
            <w:r/>
            <w:r>
              <w:rPr>
                <w:b/>
                <w:color w:val="FFFFFF"/>
                <w:sz w:val="17"/>
              </w:rPr>
              <w:t>Τι άλλαξε σε σχέση με την προηγούμενη</w:t>
            </w:r>
          </w:p>
        </w:tc>
        <w:tc>
          <w:tcPr>
            <w:tcW w:type="dxa" w:w="2016"/>
            <w:shd w:val="clear" w:color="auto" w:fill="1A3A5C"/>
          </w:tcPr>
          <w:p>
            <w:r/>
            <w:r>
              <w:rPr>
                <w:b/>
                <w:color w:val="FFFFFF"/>
                <w:sz w:val="17"/>
              </w:rPr>
              <w:t>Εγκρίθηκε από</w:t>
            </w:r>
          </w:p>
        </w:tc>
        <w:tc>
          <w:tcPr>
            <w:tcW w:type="dxa" w:w="1296"/>
            <w:shd w:val="clear" w:color="auto" w:fill="1A3A5C"/>
          </w:tcPr>
          <w:p>
            <w:r/>
            <w:r>
              <w:rPr>
                <w:b/>
                <w:color w:val="FFFFFF"/>
                <w:sz w:val="17"/>
              </w:rPr>
              <w:t>Υπογραφή</w:t>
            </w:r>
          </w:p>
        </w:tc>
      </w:tr>
      <w:tr>
        <w:tc>
          <w:tcPr>
            <w:tcW w:type="dxa" w:w="1008"/>
            <w:shd w:val="clear" w:color="auto" w:fill="FFF9E6"/>
          </w:tcPr>
          <w:p>
            <w:r/>
            <w:r>
              <w:rPr>
                <w:sz w:val="17"/>
              </w:rPr>
              <w:t>1.0</w:t>
            </w:r>
          </w:p>
        </w:tc>
        <w:tc>
          <w:tcPr>
            <w:tcW w:type="dxa" w:w="1440"/>
            <w:shd w:val="clear" w:color="auto" w:fill="FFF9E6"/>
          </w:tcPr>
          <w:p>
            <w:r/>
            <w:r>
              <w:rPr>
                <w:sz w:val="17"/>
              </w:rPr>
            </w:r>
          </w:p>
        </w:tc>
        <w:tc>
          <w:tcPr>
            <w:tcW w:type="dxa" w:w="4032"/>
            <w:shd w:val="clear" w:color="auto" w:fill="FFF9E6"/>
          </w:tcPr>
          <w:p>
            <w:r/>
            <w:r>
              <w:rPr>
                <w:sz w:val="17"/>
              </w:rPr>
              <w:t>Πρώτη έκδοση</w:t>
            </w:r>
          </w:p>
        </w:tc>
        <w:tc>
          <w:tcPr>
            <w:tcW w:type="dxa" w:w="2016"/>
            <w:shd w:val="clear" w:color="auto" w:fill="FFF9E6"/>
          </w:tcPr>
          <w:p>
            <w:r/>
            <w:r>
              <w:rPr>
                <w:sz w:val="17"/>
              </w:rPr>
            </w:r>
          </w:p>
        </w:tc>
        <w:tc>
          <w:tcPr>
            <w:tcW w:type="dxa" w:w="1296"/>
            <w:shd w:val="clear" w:color="auto" w:fill="FFF9E6"/>
          </w:tcPr>
          <w:p>
            <w:r/>
            <w:r>
              <w:rPr>
                <w:sz w:val="17"/>
              </w:rPr>
            </w:r>
          </w:p>
        </w:tc>
      </w:tr>
      <w:tr>
        <w:tc>
          <w:tcPr>
            <w:tcW w:type="dxa" w:w="1008"/>
            <w:shd w:val="clear" w:color="auto" w:fill="FFF9E6"/>
          </w:tcPr>
          <w:p>
            <w:r/>
            <w:r>
              <w:rPr>
                <w:sz w:val="17"/>
              </w:rPr>
            </w:r>
          </w:p>
        </w:tc>
        <w:tc>
          <w:tcPr>
            <w:tcW w:type="dxa" w:w="1440"/>
            <w:shd w:val="clear" w:color="auto" w:fill="FFF9E6"/>
          </w:tcPr>
          <w:p>
            <w:r/>
            <w:r>
              <w:rPr>
                <w:sz w:val="17"/>
              </w:rPr>
            </w:r>
          </w:p>
        </w:tc>
        <w:tc>
          <w:tcPr>
            <w:tcW w:type="dxa" w:w="4032"/>
            <w:shd w:val="clear" w:color="auto" w:fill="FFF9E6"/>
          </w:tcPr>
          <w:p>
            <w:r/>
            <w:r>
              <w:rPr>
                <w:sz w:val="17"/>
              </w:rPr>
            </w:r>
          </w:p>
        </w:tc>
        <w:tc>
          <w:tcPr>
            <w:tcW w:type="dxa" w:w="2016"/>
            <w:shd w:val="clear" w:color="auto" w:fill="FFF9E6"/>
          </w:tcPr>
          <w:p>
            <w:r/>
            <w:r>
              <w:rPr>
                <w:sz w:val="17"/>
              </w:rPr>
            </w:r>
          </w:p>
        </w:tc>
        <w:tc>
          <w:tcPr>
            <w:tcW w:type="dxa" w:w="1296"/>
            <w:shd w:val="clear" w:color="auto" w:fill="FFF9E6"/>
          </w:tcPr>
          <w:p>
            <w:r/>
            <w:r>
              <w:rPr>
                <w:sz w:val="17"/>
              </w:rPr>
            </w:r>
          </w:p>
        </w:tc>
      </w:tr>
      <w:tr>
        <w:tc>
          <w:tcPr>
            <w:tcW w:type="dxa" w:w="1008"/>
            <w:shd w:val="clear" w:color="auto" w:fill="FFF9E6"/>
          </w:tcPr>
          <w:p>
            <w:r/>
            <w:r>
              <w:rPr>
                <w:sz w:val="17"/>
              </w:rPr>
            </w:r>
          </w:p>
        </w:tc>
        <w:tc>
          <w:tcPr>
            <w:tcW w:type="dxa" w:w="1440"/>
            <w:shd w:val="clear" w:color="auto" w:fill="FFF9E6"/>
          </w:tcPr>
          <w:p>
            <w:r/>
            <w:r>
              <w:rPr>
                <w:sz w:val="17"/>
              </w:rPr>
            </w:r>
          </w:p>
        </w:tc>
        <w:tc>
          <w:tcPr>
            <w:tcW w:type="dxa" w:w="4032"/>
            <w:shd w:val="clear" w:color="auto" w:fill="FFF9E6"/>
          </w:tcPr>
          <w:p>
            <w:r/>
            <w:r>
              <w:rPr>
                <w:sz w:val="17"/>
              </w:rPr>
            </w:r>
          </w:p>
        </w:tc>
        <w:tc>
          <w:tcPr>
            <w:tcW w:type="dxa" w:w="2016"/>
            <w:shd w:val="clear" w:color="auto" w:fill="FFF9E6"/>
          </w:tcPr>
          <w:p>
            <w:r/>
            <w:r>
              <w:rPr>
                <w:sz w:val="17"/>
              </w:rPr>
            </w:r>
          </w:p>
        </w:tc>
        <w:tc>
          <w:tcPr>
            <w:tcW w:type="dxa" w:w="1296"/>
            <w:shd w:val="clear" w:color="auto" w:fill="FFF9E6"/>
          </w:tcPr>
          <w:p>
            <w:r/>
            <w:r>
              <w:rPr>
                <w:sz w:val="17"/>
              </w:rPr>
            </w:r>
          </w:p>
        </w:tc>
      </w:tr>
    </w:tbl>
    <w:p>
      <w:pPr>
        <w:spacing w:after="40"/>
      </w:pPr>
    </w:p>
    <w:sectPr w:rsidR="001A7041">
      <w:pgSz w:w="11906" w:h="16838"/>
      <w:pgMar w:top="1080" w:right="1080" w:bottom="108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17788"/>
    <w:multiLevelType w:val="hybridMultilevel"/>
    <w:tmpl w:val="67D61E7A"/>
    <w:lvl w:ilvl="0" w:tplc="985A26CC">
      <w:start w:val="1"/>
      <w:numFmt w:val="bullet"/>
      <w:lvlText w:val="●"/>
      <w:lvlJc w:val="left"/>
      <w:pPr>
        <w:ind w:left="720" w:hanging="360"/>
      </w:pPr>
    </w:lvl>
    <w:lvl w:ilvl="1" w:tplc="E8768C5C">
      <w:start w:val="1"/>
      <w:numFmt w:val="bullet"/>
      <w:lvlText w:val="○"/>
      <w:lvlJc w:val="left"/>
      <w:pPr>
        <w:ind w:left="1440" w:hanging="360"/>
      </w:pPr>
    </w:lvl>
    <w:lvl w:ilvl="2" w:tplc="49DCE146">
      <w:start w:val="1"/>
      <w:numFmt w:val="bullet"/>
      <w:lvlText w:val="■"/>
      <w:lvlJc w:val="left"/>
      <w:pPr>
        <w:ind w:left="2160" w:hanging="360"/>
      </w:pPr>
    </w:lvl>
    <w:lvl w:ilvl="3" w:tplc="D75EB66E">
      <w:start w:val="1"/>
      <w:numFmt w:val="bullet"/>
      <w:lvlText w:val="●"/>
      <w:lvlJc w:val="left"/>
      <w:pPr>
        <w:ind w:left="2880" w:hanging="360"/>
      </w:pPr>
    </w:lvl>
    <w:lvl w:ilvl="4" w:tplc="3438B01E">
      <w:start w:val="1"/>
      <w:numFmt w:val="bullet"/>
      <w:lvlText w:val="○"/>
      <w:lvlJc w:val="left"/>
      <w:pPr>
        <w:ind w:left="3600" w:hanging="360"/>
      </w:pPr>
    </w:lvl>
    <w:lvl w:ilvl="5" w:tplc="F098996A">
      <w:start w:val="1"/>
      <w:numFmt w:val="bullet"/>
      <w:lvlText w:val="■"/>
      <w:lvlJc w:val="left"/>
      <w:pPr>
        <w:ind w:left="4320" w:hanging="360"/>
      </w:pPr>
    </w:lvl>
    <w:lvl w:ilvl="6" w:tplc="F68606E8">
      <w:start w:val="1"/>
      <w:numFmt w:val="bullet"/>
      <w:lvlText w:val="●"/>
      <w:lvlJc w:val="left"/>
      <w:pPr>
        <w:ind w:left="5040" w:hanging="360"/>
      </w:pPr>
    </w:lvl>
    <w:lvl w:ilvl="7" w:tplc="644E8EBC">
      <w:start w:val="1"/>
      <w:numFmt w:val="bullet"/>
      <w:lvlText w:val="●"/>
      <w:lvlJc w:val="left"/>
      <w:pPr>
        <w:ind w:left="5760" w:hanging="360"/>
      </w:pPr>
    </w:lvl>
    <w:lvl w:ilvl="8" w:tplc="3842B05A">
      <w:start w:val="1"/>
      <w:numFmt w:val="bullet"/>
      <w:lvlText w:val="●"/>
      <w:lvlJc w:val="left"/>
      <w:pPr>
        <w:ind w:left="6480" w:hanging="360"/>
      </w:pPr>
    </w:lvl>
  </w:abstractNum>
  <w:num w:numId="1" w16cid:durableId="16817927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041"/>
    <w:rsid w:val="001A7041"/>
    <w:rsid w:val="00506922"/>
    <w:rsid w:val="00BB00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9BE82"/>
  <w15:docId w15:val="{357F0E37-6431-4D99-954F-43F68B8D6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19"/>
        <w:szCs w:val="19"/>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Έντονο1"/>
    <w:qFormat/>
    <w:rPr>
      <w:b/>
      <w:bCs/>
    </w:rPr>
  </w:style>
  <w:style w:type="paragraph" w:styleId="a4">
    <w:name w:val="List Paragraph"/>
    <w:qFormat/>
  </w:style>
  <w:style w:type="character" w:styleId="-">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Κείμενο υποσημείωσης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Κείμενο σημείωσης τέλους Char"/>
    <w:link w:val="a8"/>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1289</Words>
  <Characters>7805</Characters>
  <Application>Microsoft Office Word</Application>
  <DocSecurity>0</DocSecurity>
  <Lines>354</Lines>
  <Paragraphs>259</Paragraphs>
  <ScaleCrop>false</ScaleCrop>
  <Company/>
  <LinksUpToDate>false</LinksUpToDate>
  <CharactersWithSpaces>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ΚΩΝΣΤΑΝΤΙΝΟΣ ΚΟΥΛΟΓΙΑΝΝΗΣ</cp:lastModifiedBy>
  <cp:revision>2</cp:revision>
  <dcterms:created xsi:type="dcterms:W3CDTF">2026-08-28T03:21:00Z</dcterms:created>
  <dcterms:modified xsi:type="dcterms:W3CDTF">2026-08-28T13:13:00Z</dcterms:modified>
</cp:coreProperties>
</file>